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8A8F1" w14:textId="77777777" w:rsidR="005176DE" w:rsidRDefault="00000000" w:rsidP="005176DE">
      <w:pPr>
        <w:spacing w:line="240" w:lineRule="auto"/>
        <w:jc w:val="center"/>
        <w:rPr>
          <w:rFonts w:ascii="Comic Sans MS" w:hAnsi="Comic Sans MS" w:cs="Times New Roman"/>
          <w:b/>
          <w:color w:val="0000FF"/>
          <w:sz w:val="24"/>
        </w:rPr>
      </w:pPr>
      <w:r>
        <w:rPr>
          <w:rFonts w:ascii="Comic Sans MS" w:hAnsi="Comic Sans MS" w:cs="Times New Roman"/>
          <w:b/>
          <w:noProof/>
          <w:color w:val="0000FF"/>
          <w:sz w:val="24"/>
          <w:lang w:eastAsia="fr-FR"/>
        </w:rPr>
        <w:pict w14:anchorId="0931C811">
          <v:rect id="Rectangle 9" o:spid="_x0000_s1026" style="position:absolute;left:0;text-align:left;margin-left:3.85pt;margin-top:60.9pt;width:445.6pt;height:53.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" filled="f" strokecolor="blue" strokeweight="1.5pt"/>
        </w:pict>
      </w:r>
      <w:r w:rsidR="005176DE" w:rsidRPr="005176DE">
        <w:rPr>
          <w:rFonts w:ascii="Comic Sans MS" w:hAnsi="Comic Sans MS" w:cs="Times New Roman"/>
          <w:b/>
          <w:noProof/>
          <w:color w:val="0000FF"/>
          <w:sz w:val="24"/>
          <w:lang w:eastAsia="fr-FR"/>
        </w:rPr>
        <w:drawing>
          <wp:inline distT="0" distB="0" distL="0" distR="0" wp14:anchorId="55D4E58D" wp14:editId="637746F6">
            <wp:extent cx="5759450" cy="688264"/>
            <wp:effectExtent l="0" t="0" r="0" b="0"/>
            <wp:docPr id="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688264"/>
                    </a:xfrm>
                    <a:prstGeom prst="rect">
                      <a:avLst/>
                    </a:prstGeom>
                    <a:noFill/>
                    <a:ln>
                      <a:noFill/>
                    </a:ln>
                  </pic:spPr>
                </pic:pic>
              </a:graphicData>
            </a:graphic>
          </wp:inline>
        </w:drawing>
      </w:r>
    </w:p>
    <w:p w14:paraId="1C262BD3" w14:textId="77777777" w:rsidR="005176DE" w:rsidRDefault="002D7B20" w:rsidP="005176DE">
      <w:pPr>
        <w:spacing w:line="240" w:lineRule="auto"/>
        <w:jc w:val="center"/>
        <w:rPr>
          <w:rFonts w:ascii="Times New Roman" w:hAnsi="Times New Roman" w:cs="Times New Roman"/>
          <w:b/>
          <w:color w:val="0000FF"/>
          <w:sz w:val="24"/>
        </w:rPr>
      </w:pPr>
      <w:r>
        <w:rPr>
          <w:rFonts w:ascii="Times New Roman" w:hAnsi="Times New Roman" w:cs="Times New Roman"/>
          <w:b/>
          <w:color w:val="0000FF"/>
          <w:sz w:val="24"/>
        </w:rPr>
        <w:t>Gliomes diffus : défis diagnostics en milieu à ressources limitées.</w:t>
      </w:r>
    </w:p>
    <w:p w14:paraId="7F6C044E" w14:textId="77777777" w:rsidR="002D7B20" w:rsidRPr="002D7B20" w:rsidRDefault="002D7B20" w:rsidP="005176DE">
      <w:pPr>
        <w:spacing w:line="240" w:lineRule="auto"/>
        <w:jc w:val="center"/>
        <w:rPr>
          <w:rFonts w:ascii="Times New Roman" w:hAnsi="Times New Roman" w:cs="Times New Roman"/>
          <w:b/>
          <w:i/>
          <w:iCs/>
          <w:color w:val="0000FF"/>
          <w:sz w:val="24"/>
        </w:rPr>
      </w:pPr>
      <w:r w:rsidRPr="002D7B20">
        <w:rPr>
          <w:rFonts w:ascii="Times New Roman" w:hAnsi="Times New Roman" w:cs="Times New Roman"/>
          <w:b/>
          <w:i/>
          <w:iCs/>
          <w:color w:val="0000FF"/>
          <w:sz w:val="24"/>
        </w:rPr>
        <w:t xml:space="preserve">Diffuse </w:t>
      </w:r>
      <w:proofErr w:type="spellStart"/>
      <w:r w:rsidRPr="002D7B20">
        <w:rPr>
          <w:rFonts w:ascii="Times New Roman" w:hAnsi="Times New Roman" w:cs="Times New Roman"/>
          <w:b/>
          <w:i/>
          <w:iCs/>
          <w:color w:val="0000FF"/>
          <w:sz w:val="24"/>
        </w:rPr>
        <w:t>gliomas</w:t>
      </w:r>
      <w:proofErr w:type="spellEnd"/>
      <w:r w:rsidRPr="002D7B20">
        <w:rPr>
          <w:rFonts w:ascii="Times New Roman" w:hAnsi="Times New Roman" w:cs="Times New Roman"/>
          <w:b/>
          <w:i/>
          <w:iCs/>
          <w:color w:val="0000FF"/>
          <w:sz w:val="24"/>
        </w:rPr>
        <w:t xml:space="preserve"> : </w:t>
      </w:r>
      <w:proofErr w:type="spellStart"/>
      <w:r w:rsidRPr="002D7B20">
        <w:rPr>
          <w:rFonts w:ascii="Times New Roman" w:hAnsi="Times New Roman" w:cs="Times New Roman"/>
          <w:b/>
          <w:i/>
          <w:iCs/>
          <w:color w:val="0000FF"/>
          <w:sz w:val="24"/>
        </w:rPr>
        <w:t>diagnosis</w:t>
      </w:r>
      <w:proofErr w:type="spellEnd"/>
      <w:r w:rsidRPr="002D7B20">
        <w:rPr>
          <w:rFonts w:ascii="Times New Roman" w:hAnsi="Times New Roman" w:cs="Times New Roman"/>
          <w:b/>
          <w:i/>
          <w:iCs/>
          <w:color w:val="0000FF"/>
          <w:sz w:val="24"/>
        </w:rPr>
        <w:t xml:space="preserve"> challenge in ressource-</w:t>
      </w:r>
      <w:proofErr w:type="spellStart"/>
      <w:r w:rsidRPr="002D7B20">
        <w:rPr>
          <w:rFonts w:ascii="Times New Roman" w:hAnsi="Times New Roman" w:cs="Times New Roman"/>
          <w:b/>
          <w:i/>
          <w:iCs/>
          <w:color w:val="0000FF"/>
          <w:sz w:val="24"/>
        </w:rPr>
        <w:t>limited</w:t>
      </w:r>
      <w:proofErr w:type="spellEnd"/>
      <w:r w:rsidRPr="002D7B20">
        <w:rPr>
          <w:rFonts w:ascii="Times New Roman" w:hAnsi="Times New Roman" w:cs="Times New Roman"/>
          <w:b/>
          <w:i/>
          <w:iCs/>
          <w:color w:val="0000FF"/>
          <w:sz w:val="24"/>
        </w:rPr>
        <w:t xml:space="preserve"> setting</w:t>
      </w:r>
    </w:p>
    <w:p w14:paraId="6DEE2F8D" w14:textId="77777777" w:rsidR="005176DE" w:rsidRPr="00434AD1" w:rsidRDefault="005176DE" w:rsidP="005176DE">
      <w:pPr>
        <w:spacing w:line="240" w:lineRule="auto"/>
        <w:jc w:val="both"/>
        <w:rPr>
          <w:rFonts w:ascii="Times New Roman" w:hAnsi="Times New Roman" w:cs="Times New Roman"/>
          <w:color w:val="0000FF"/>
          <w:sz w:val="24"/>
          <w:lang w:val="en-US"/>
        </w:rPr>
      </w:pPr>
    </w:p>
    <w:p w14:paraId="65A320F1" w14:textId="77777777" w:rsidR="005176DE" w:rsidRPr="00434AD1" w:rsidRDefault="002D7B20" w:rsidP="005176DE">
      <w:pPr>
        <w:spacing w:line="240" w:lineRule="auto"/>
        <w:jc w:val="center"/>
        <w:rPr>
          <w:rFonts w:ascii="Times New Roman" w:hAnsi="Times New Roman" w:cs="Times New Roman"/>
          <w:b/>
          <w:color w:val="0000FF"/>
          <w:sz w:val="24"/>
          <w:lang w:val="en-US"/>
        </w:rPr>
      </w:pPr>
      <w:proofErr w:type="spellStart"/>
      <w:r>
        <w:rPr>
          <w:rFonts w:ascii="Times New Roman" w:hAnsi="Times New Roman" w:cs="Times New Roman"/>
          <w:b/>
          <w:color w:val="0000FF"/>
          <w:sz w:val="24"/>
          <w:lang w:val="en-US"/>
        </w:rPr>
        <w:t>Ranaivomanana</w:t>
      </w:r>
      <w:proofErr w:type="spellEnd"/>
      <w:r>
        <w:rPr>
          <w:rFonts w:ascii="Times New Roman" w:hAnsi="Times New Roman" w:cs="Times New Roman"/>
          <w:b/>
          <w:color w:val="0000FF"/>
          <w:sz w:val="24"/>
          <w:lang w:val="en-US"/>
        </w:rPr>
        <w:t xml:space="preserve"> VF, </w:t>
      </w:r>
      <w:proofErr w:type="spellStart"/>
      <w:r>
        <w:rPr>
          <w:rFonts w:ascii="Times New Roman" w:hAnsi="Times New Roman" w:cs="Times New Roman"/>
          <w:b/>
          <w:color w:val="0000FF"/>
          <w:sz w:val="24"/>
          <w:lang w:val="en-US"/>
        </w:rPr>
        <w:t>Andrianjafitrimo</w:t>
      </w:r>
      <w:proofErr w:type="spellEnd"/>
      <w:r>
        <w:rPr>
          <w:rFonts w:ascii="Times New Roman" w:hAnsi="Times New Roman" w:cs="Times New Roman"/>
          <w:b/>
          <w:color w:val="0000FF"/>
          <w:sz w:val="24"/>
          <w:lang w:val="en-US"/>
        </w:rPr>
        <w:t xml:space="preserve"> HT, </w:t>
      </w:r>
      <w:proofErr w:type="spellStart"/>
      <w:r>
        <w:rPr>
          <w:rFonts w:ascii="Times New Roman" w:hAnsi="Times New Roman" w:cs="Times New Roman"/>
          <w:b/>
          <w:color w:val="0000FF"/>
          <w:sz w:val="24"/>
          <w:lang w:val="en-US"/>
        </w:rPr>
        <w:t>Bemora</w:t>
      </w:r>
      <w:proofErr w:type="spellEnd"/>
      <w:r>
        <w:rPr>
          <w:rFonts w:ascii="Times New Roman" w:hAnsi="Times New Roman" w:cs="Times New Roman"/>
          <w:b/>
          <w:color w:val="0000FF"/>
          <w:sz w:val="24"/>
          <w:lang w:val="en-US"/>
        </w:rPr>
        <w:t xml:space="preserve"> JS, </w:t>
      </w:r>
      <w:proofErr w:type="spellStart"/>
      <w:r>
        <w:rPr>
          <w:rFonts w:ascii="Times New Roman" w:hAnsi="Times New Roman" w:cs="Times New Roman"/>
          <w:b/>
          <w:color w:val="0000FF"/>
          <w:sz w:val="24"/>
          <w:lang w:val="en-US"/>
        </w:rPr>
        <w:t>Randrianjafisamindrakotroka</w:t>
      </w:r>
      <w:proofErr w:type="spellEnd"/>
      <w:r>
        <w:rPr>
          <w:rFonts w:ascii="Times New Roman" w:hAnsi="Times New Roman" w:cs="Times New Roman"/>
          <w:b/>
          <w:color w:val="0000FF"/>
          <w:sz w:val="24"/>
          <w:lang w:val="en-US"/>
        </w:rPr>
        <w:t xml:space="preserve"> NS</w:t>
      </w:r>
      <w:r w:rsidR="005176DE" w:rsidRPr="00434AD1">
        <w:rPr>
          <w:rFonts w:ascii="Times New Roman" w:hAnsi="Times New Roman" w:cs="Times New Roman"/>
          <w:b/>
          <w:color w:val="0000FF"/>
          <w:sz w:val="24"/>
          <w:lang w:val="en-US"/>
        </w:rPr>
        <w:t>.</w:t>
      </w:r>
    </w:p>
    <w:p w14:paraId="3E33ACF8" w14:textId="77777777" w:rsidR="00316FD4" w:rsidRPr="00E12C42" w:rsidRDefault="00316FD4" w:rsidP="007108E8">
      <w:pPr>
        <w:spacing w:line="240" w:lineRule="auto"/>
        <w:jc w:val="both"/>
        <w:rPr>
          <w:rFonts w:ascii="Times New Roman" w:hAnsi="Times New Roman" w:cs="Times New Roman"/>
          <w:sz w:val="24"/>
          <w:lang w:val="en-US"/>
        </w:rPr>
      </w:pPr>
    </w:p>
    <w:p w14:paraId="5F7F83C1" w14:textId="77777777" w:rsidR="00685DE2" w:rsidRPr="007108E8" w:rsidRDefault="00000000" w:rsidP="007108E8">
      <w:pPr>
        <w:spacing w:line="240" w:lineRule="auto"/>
        <w:jc w:val="both"/>
        <w:rPr>
          <w:rFonts w:ascii="Times New Roman" w:hAnsi="Times New Roman" w:cs="Times New Roman"/>
          <w:b/>
          <w:color w:val="0000FF"/>
          <w:sz w:val="24"/>
        </w:rPr>
      </w:pPr>
      <w:r>
        <w:rPr>
          <w:rFonts w:ascii="Times New Roman" w:hAnsi="Times New Roman" w:cs="Times New Roman"/>
          <w:b/>
          <w:noProof/>
          <w:color w:val="0000FF"/>
          <w:sz w:val="24"/>
        </w:rPr>
        <w:pict w14:anchorId="71EA250E">
          <v:shapetype id="_x0000_t32" coordsize="21600,21600" o:spt="32" o:oned="t" path="m,l21600,21600e" filled="f">
            <v:path arrowok="t" fillok="f" o:connecttype="none"/>
            <o:lock v:ext="edit" shapetype="t"/>
          </v:shapetype>
          <v:shape id="AutoShape 11" o:spid="_x0000_s1032" type="#_x0000_t32" style="position:absolute;left:0;text-align:left;margin-left:69.55pt;margin-top:8.4pt;width:387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" strokecolor="blue" strokeweight="1.5pt"/>
        </w:pict>
      </w:r>
      <w:r w:rsidR="00685DE2" w:rsidRPr="007108E8">
        <w:rPr>
          <w:rFonts w:ascii="Times New Roman" w:hAnsi="Times New Roman" w:cs="Times New Roman"/>
          <w:b/>
          <w:color w:val="0000FF"/>
          <w:sz w:val="24"/>
        </w:rPr>
        <w:t xml:space="preserve">Introduction </w:t>
      </w:r>
    </w:p>
    <w:p w14:paraId="39EE5EE7" w14:textId="77777777" w:rsidR="002D7B20" w:rsidRPr="009A5B59" w:rsidRDefault="002D7B20" w:rsidP="002D7B20">
      <w:pPr>
        <w:spacing w:line="240" w:lineRule="auto"/>
        <w:ind w:hanging="2"/>
        <w:jc w:val="both"/>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 xml:space="preserve">La tumeur gliale représente l’ensemble des tumeurs cérébrales, bénignes ou malignes, issues du tissu de soutien neuronal ou la glie. Les gliomes diffus sont des tumeurs d’origine gliale qui infiltrent diffusément le parenchyme cérébral. Elle représente les tumeurs malignes primitives du système nerveux central (SNC) les plus fréquentes de l’adulte (1). En France, les tumeurs primitives du SNC représentent 6000 à 8000 nouveaux cas par an, dont environ 40% correspondent à des tumeurs gliales ou </w:t>
      </w:r>
      <w:proofErr w:type="spellStart"/>
      <w:r w:rsidRPr="009A5B59">
        <w:rPr>
          <w:rFonts w:ascii="Times New Roman" w:eastAsia="Times New Roman" w:hAnsi="Times New Roman" w:cs="Times New Roman"/>
          <w:sz w:val="24"/>
          <w:szCs w:val="24"/>
        </w:rPr>
        <w:t>glioneuronales</w:t>
      </w:r>
      <w:proofErr w:type="spellEnd"/>
      <w:r w:rsidRPr="009A5B59">
        <w:rPr>
          <w:rFonts w:ascii="Times New Roman" w:eastAsia="Times New Roman" w:hAnsi="Times New Roman" w:cs="Times New Roman"/>
          <w:sz w:val="24"/>
          <w:szCs w:val="24"/>
        </w:rPr>
        <w:t xml:space="preserve"> (2). A Madagascar, des études ont été déjà réalisées mais incluant toutes les tumeurs du SNC. La présente étude concerne spécifiquement la forme la plus fréquente de ces tumeurs, les tumeurs gliales diffuses.</w:t>
      </w:r>
    </w:p>
    <w:p w14:paraId="08BB8AF4" w14:textId="77777777" w:rsidR="002D7B20" w:rsidRPr="009A5B59" w:rsidRDefault="002D7B20" w:rsidP="002D7B20">
      <w:pPr>
        <w:spacing w:line="240" w:lineRule="auto"/>
        <w:ind w:hanging="2"/>
        <w:jc w:val="both"/>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 xml:space="preserve">Elle a pour objectif de déterminer les profils </w:t>
      </w:r>
      <w:proofErr w:type="spellStart"/>
      <w:r w:rsidRPr="009A5B59">
        <w:rPr>
          <w:rFonts w:ascii="Times New Roman" w:eastAsia="Times New Roman" w:hAnsi="Times New Roman" w:cs="Times New Roman"/>
          <w:sz w:val="24"/>
          <w:szCs w:val="24"/>
        </w:rPr>
        <w:t>histo</w:t>
      </w:r>
      <w:proofErr w:type="spellEnd"/>
      <w:r w:rsidRPr="009A5B59">
        <w:rPr>
          <w:rFonts w:ascii="Times New Roman" w:eastAsia="Times New Roman" w:hAnsi="Times New Roman" w:cs="Times New Roman"/>
          <w:sz w:val="24"/>
          <w:szCs w:val="24"/>
        </w:rPr>
        <w:t>-épidémiologiques et cliniques des tumeurs gliales diffuses observées au laboratoire d’Anatomie et Cytologie Pathologiques du CHU/JRA.</w:t>
      </w:r>
    </w:p>
    <w:p w14:paraId="1DCE6D9D" w14:textId="77777777" w:rsidR="002D7B20" w:rsidRDefault="00000000" w:rsidP="002D7B20">
      <w:pPr>
        <w:spacing w:line="240" w:lineRule="auto"/>
        <w:jc w:val="both"/>
        <w:rPr>
          <w:rFonts w:ascii="Times New Roman" w:hAnsi="Times New Roman" w:cs="Times New Roman"/>
          <w:b/>
          <w:color w:val="0000FF"/>
          <w:sz w:val="24"/>
        </w:rPr>
      </w:pPr>
      <w:r>
        <w:rPr>
          <w:rFonts w:ascii="Times New Roman" w:hAnsi="Times New Roman" w:cs="Times New Roman"/>
          <w:b/>
          <w:noProof/>
          <w:color w:val="0000FF"/>
          <w:sz w:val="24"/>
        </w:rPr>
        <w:pict w14:anchorId="3E9C742F">
          <v:shape id="AutoShape 18" o:spid="_x0000_s1031" type="#_x0000_t32" style="position:absolute;left:0;text-align:left;margin-left:119.95pt;margin-top:9.45pt;width:331.2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" strokecolor="blue" strokeweight="1.5pt"/>
        </w:pict>
      </w:r>
      <w:r w:rsidR="002D7B20">
        <w:rPr>
          <w:rFonts w:ascii="Times New Roman" w:hAnsi="Times New Roman" w:cs="Times New Roman"/>
          <w:b/>
          <w:color w:val="0000FF"/>
          <w:sz w:val="24"/>
        </w:rPr>
        <w:t xml:space="preserve">Matériels et Méthodes </w:t>
      </w:r>
    </w:p>
    <w:p w14:paraId="134FD1A4" w14:textId="77777777" w:rsidR="0082209B" w:rsidRDefault="0082209B" w:rsidP="002D7B20">
      <w:pPr>
        <w:spacing w:line="240" w:lineRule="auto"/>
        <w:ind w:hanging="2"/>
        <w:jc w:val="both"/>
        <w:rPr>
          <w:rFonts w:ascii="Times New Roman" w:eastAsia="Times New Roman" w:hAnsi="Times New Roman" w:cs="Times New Roman"/>
          <w:sz w:val="24"/>
          <w:szCs w:val="24"/>
        </w:rPr>
        <w:sectPr w:rsidR="0082209B" w:rsidSect="00AD099F">
          <w:headerReference w:type="default" r:id="rId8"/>
          <w:footerReference w:type="default" r:id="rId9"/>
          <w:pgSz w:w="11906" w:h="16838"/>
          <w:pgMar w:top="1417" w:right="1417" w:bottom="1417" w:left="1417" w:header="708" w:footer="708" w:gutter="0"/>
          <w:pgNumType w:start="450"/>
          <w:cols w:space="708"/>
          <w:docGrid w:linePitch="360"/>
        </w:sectPr>
      </w:pPr>
    </w:p>
    <w:p w14:paraId="782A3D7E" w14:textId="77777777" w:rsidR="002D7B20" w:rsidRPr="009A5B59" w:rsidRDefault="002D7B20" w:rsidP="002D7B20">
      <w:pPr>
        <w:spacing w:line="240" w:lineRule="auto"/>
        <w:ind w:hanging="2"/>
        <w:jc w:val="both"/>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 xml:space="preserve">Il s’agit d’une étude transversale, rétrospective et descriptive réalisée au laboratoire d’Anatomie et Cytologie Pathologiques du Centre Hospitalier Universitaire Joseph </w:t>
      </w:r>
      <w:proofErr w:type="spellStart"/>
      <w:r w:rsidRPr="009A5B59">
        <w:rPr>
          <w:rFonts w:ascii="Times New Roman" w:eastAsia="Times New Roman" w:hAnsi="Times New Roman" w:cs="Times New Roman"/>
          <w:sz w:val="24"/>
          <w:szCs w:val="24"/>
        </w:rPr>
        <w:t>Ravoahangy</w:t>
      </w:r>
      <w:proofErr w:type="spellEnd"/>
      <w:r w:rsidRPr="009A5B59">
        <w:rPr>
          <w:rFonts w:ascii="Times New Roman" w:eastAsia="Times New Roman" w:hAnsi="Times New Roman" w:cs="Times New Roman"/>
          <w:sz w:val="24"/>
          <w:szCs w:val="24"/>
        </w:rPr>
        <w:t xml:space="preserve"> </w:t>
      </w:r>
      <w:proofErr w:type="spellStart"/>
      <w:r w:rsidRPr="009A5B59">
        <w:rPr>
          <w:rFonts w:ascii="Times New Roman" w:eastAsia="Times New Roman" w:hAnsi="Times New Roman" w:cs="Times New Roman"/>
          <w:sz w:val="24"/>
          <w:szCs w:val="24"/>
        </w:rPr>
        <w:t>Andrianavalona</w:t>
      </w:r>
      <w:proofErr w:type="spellEnd"/>
      <w:r w:rsidRPr="009A5B59">
        <w:rPr>
          <w:rFonts w:ascii="Times New Roman" w:eastAsia="Times New Roman" w:hAnsi="Times New Roman" w:cs="Times New Roman"/>
          <w:sz w:val="24"/>
          <w:szCs w:val="24"/>
        </w:rPr>
        <w:t xml:space="preserve"> sur une période de 5 ans, allant de janvier 2018 à décembre 2022. La population d’étude a été constituée par les </w:t>
      </w:r>
      <w:r w:rsidRPr="009A5B59">
        <w:rPr>
          <w:rFonts w:ascii="Times New Roman" w:eastAsia="Times New Roman" w:hAnsi="Times New Roman" w:cs="Times New Roman"/>
          <w:sz w:val="24"/>
          <w:szCs w:val="24"/>
        </w:rPr>
        <w:t xml:space="preserve">patients ayant envoyés des prélèvements cérébraux pour un examen anatomo-pathologique. Tous les cas de tumeurs gliales diffuses diagnostiquées durant la période d’étude ont été inclus et les tumeurs circonscrites ont été exclues. </w:t>
      </w:r>
      <w:proofErr w:type="spellStart"/>
      <w:r w:rsidRPr="009A5B59">
        <w:rPr>
          <w:rFonts w:ascii="Times New Roman" w:eastAsia="Times New Roman" w:hAnsi="Times New Roman" w:cs="Times New Roman"/>
          <w:sz w:val="24"/>
          <w:szCs w:val="24"/>
        </w:rPr>
        <w:t>Leslésions</w:t>
      </w:r>
      <w:proofErr w:type="spellEnd"/>
      <w:r w:rsidRPr="009A5B59">
        <w:rPr>
          <w:rFonts w:ascii="Times New Roman" w:eastAsia="Times New Roman" w:hAnsi="Times New Roman" w:cs="Times New Roman"/>
          <w:sz w:val="24"/>
          <w:szCs w:val="24"/>
        </w:rPr>
        <w:t xml:space="preserve"> inflammatoires et les autres tumeurs cérébrales n’ont pas été inclus.</w:t>
      </w:r>
    </w:p>
    <w:p w14:paraId="0785FE77" w14:textId="77777777" w:rsidR="0082209B" w:rsidRDefault="0082209B" w:rsidP="007108E8">
      <w:pPr>
        <w:spacing w:line="240" w:lineRule="auto"/>
        <w:jc w:val="both"/>
        <w:rPr>
          <w:rFonts w:ascii="Times New Roman" w:hAnsi="Times New Roman" w:cs="Times New Roman"/>
          <w:b/>
          <w:color w:val="0000FF"/>
          <w:sz w:val="24"/>
        </w:rPr>
        <w:sectPr w:rsidR="0082209B" w:rsidSect="0082209B">
          <w:type w:val="continuous"/>
          <w:pgSz w:w="11906" w:h="16838"/>
          <w:pgMar w:top="1417" w:right="1417" w:bottom="1417" w:left="1417" w:header="708" w:footer="708" w:gutter="0"/>
          <w:pgNumType w:start="450"/>
          <w:cols w:num="2" w:space="708"/>
          <w:docGrid w:linePitch="360"/>
        </w:sectPr>
      </w:pPr>
    </w:p>
    <w:p w14:paraId="3A7FE017" w14:textId="77777777" w:rsidR="003F2BF8" w:rsidRDefault="00000000" w:rsidP="007108E8">
      <w:pPr>
        <w:spacing w:line="240" w:lineRule="auto"/>
        <w:jc w:val="both"/>
        <w:rPr>
          <w:rFonts w:ascii="Times New Roman" w:hAnsi="Times New Roman" w:cs="Times New Roman"/>
          <w:b/>
          <w:color w:val="0000FF"/>
          <w:sz w:val="24"/>
        </w:rPr>
      </w:pPr>
      <w:r>
        <w:rPr>
          <w:rFonts w:ascii="Times New Roman" w:hAnsi="Times New Roman" w:cs="Times New Roman"/>
          <w:b/>
          <w:noProof/>
          <w:color w:val="0000FF"/>
          <w:sz w:val="24"/>
        </w:rPr>
        <w:pict w14:anchorId="132210B5">
          <v:shape id="AutoShape 13" o:spid="_x0000_s1030" type="#_x0000_t32" style="position:absolute;left:0;text-align:left;margin-left:119.95pt;margin-top:9.45pt;width:331.2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" strokecolor="blue" strokeweight="1.5pt"/>
        </w:pict>
      </w:r>
      <w:r w:rsidR="002D7B20">
        <w:rPr>
          <w:rFonts w:ascii="Times New Roman" w:hAnsi="Times New Roman" w:cs="Times New Roman"/>
          <w:b/>
          <w:color w:val="0000FF"/>
          <w:sz w:val="24"/>
        </w:rPr>
        <w:t xml:space="preserve">Résultats </w:t>
      </w:r>
    </w:p>
    <w:p w14:paraId="56C4A96C" w14:textId="77777777" w:rsidR="002D7B20" w:rsidRDefault="002D7B20" w:rsidP="007108E8">
      <w:pPr>
        <w:spacing w:line="240" w:lineRule="auto"/>
        <w:jc w:val="both"/>
        <w:rPr>
          <w:rFonts w:ascii="Times New Roman" w:hAnsi="Times New Roman" w:cs="Times New Roman"/>
          <w:b/>
          <w:sz w:val="24"/>
        </w:rPr>
        <w:sectPr w:rsidR="002D7B20" w:rsidSect="0082209B">
          <w:type w:val="continuous"/>
          <w:pgSz w:w="11906" w:h="16838"/>
          <w:pgMar w:top="1417" w:right="1417" w:bottom="1417" w:left="1417" w:header="708" w:footer="708" w:gutter="0"/>
          <w:pgNumType w:start="450"/>
          <w:cols w:space="708"/>
          <w:docGrid w:linePitch="360"/>
        </w:sectPr>
      </w:pPr>
    </w:p>
    <w:p w14:paraId="51A4709F" w14:textId="77777777" w:rsidR="00320CA0" w:rsidRPr="009A5B59" w:rsidRDefault="002D7B20" w:rsidP="002D7B20">
      <w:pPr>
        <w:tabs>
          <w:tab w:val="left" w:pos="5535"/>
        </w:tabs>
        <w:spacing w:line="240" w:lineRule="auto"/>
        <w:ind w:hanging="2"/>
        <w:jc w:val="both"/>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 xml:space="preserve">Durant la période d’étude, 17 cas de gliome diffus ont été colligés, représentant 29,3% de toutes les lésions cérébrales, 34% des tumeurs primitives cérébrales et 80,9% des tumeurs gliales. </w:t>
      </w:r>
      <w:r w:rsidR="00320CA0" w:rsidRPr="009A5B59">
        <w:rPr>
          <w:rFonts w:ascii="Times New Roman" w:eastAsia="Times New Roman" w:hAnsi="Times New Roman" w:cs="Times New Roman"/>
          <w:sz w:val="24"/>
          <w:szCs w:val="24"/>
        </w:rPr>
        <w:t xml:space="preserve">Une légère prédominance masculine a été notée avec un </w:t>
      </w:r>
      <w:proofErr w:type="spellStart"/>
      <w:r w:rsidR="00320CA0" w:rsidRPr="009A5B59">
        <w:rPr>
          <w:rFonts w:ascii="Times New Roman" w:eastAsia="Times New Roman" w:hAnsi="Times New Roman" w:cs="Times New Roman"/>
          <w:sz w:val="24"/>
          <w:szCs w:val="24"/>
        </w:rPr>
        <w:t>sex</w:t>
      </w:r>
      <w:proofErr w:type="spellEnd"/>
      <w:r w:rsidR="00320CA0" w:rsidRPr="009A5B59">
        <w:rPr>
          <w:rFonts w:ascii="Times New Roman" w:eastAsia="Times New Roman" w:hAnsi="Times New Roman" w:cs="Times New Roman"/>
          <w:sz w:val="24"/>
          <w:szCs w:val="24"/>
        </w:rPr>
        <w:t xml:space="preserve"> ratio de 1,12 (figure 1).</w:t>
      </w:r>
    </w:p>
    <w:p w14:paraId="2C815C2E" w14:textId="77777777" w:rsidR="00320CA0" w:rsidRDefault="00320CA0" w:rsidP="002D7B20">
      <w:pPr>
        <w:tabs>
          <w:tab w:val="left" w:pos="5535"/>
        </w:tabs>
        <w:spacing w:line="240" w:lineRule="auto"/>
        <w:ind w:hanging="2"/>
        <w:jc w:val="both"/>
        <w:rPr>
          <w:rFonts w:ascii="Times New Roman" w:eastAsia="Times New Roman" w:hAnsi="Times New Roman" w:cs="Times New Roman"/>
          <w:sz w:val="24"/>
          <w:szCs w:val="24"/>
        </w:rPr>
      </w:pPr>
      <w:r w:rsidRPr="009B3984">
        <w:rPr>
          <w:rFonts w:ascii="Times New Roman" w:eastAsia="Times New Roman" w:hAnsi="Times New Roman" w:cs="Times New Roman"/>
          <w:bCs/>
          <w:noProof/>
          <w:sz w:val="24"/>
          <w:szCs w:val="24"/>
          <w:lang w:eastAsia="fr-FR"/>
        </w:rPr>
        <w:drawing>
          <wp:inline distT="0" distB="0" distL="0" distR="0" wp14:anchorId="1CE7BD3B" wp14:editId="0153533C">
            <wp:extent cx="3152775" cy="1609725"/>
            <wp:effectExtent l="0" t="0" r="0" b="0"/>
            <wp:docPr id="506296304" name="Graphique 50629630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9BA1112" w14:textId="77777777" w:rsidR="00320CA0" w:rsidRPr="00320CA0" w:rsidRDefault="00320CA0" w:rsidP="00320CA0">
      <w:pPr>
        <w:tabs>
          <w:tab w:val="left" w:pos="5535"/>
        </w:tabs>
        <w:spacing w:line="240" w:lineRule="auto"/>
        <w:ind w:hanging="2"/>
        <w:jc w:val="both"/>
        <w:rPr>
          <w:rFonts w:ascii="Times New Roman" w:eastAsia="Times New Roman" w:hAnsi="Times New Roman" w:cs="Times New Roman"/>
          <w:bCs/>
          <w:color w:val="00B0F0"/>
          <w:sz w:val="24"/>
          <w:szCs w:val="24"/>
        </w:rPr>
      </w:pPr>
      <w:r w:rsidRPr="00320CA0">
        <w:rPr>
          <w:rFonts w:ascii="Times New Roman" w:eastAsia="Times New Roman" w:hAnsi="Times New Roman" w:cs="Times New Roman"/>
          <w:bCs/>
          <w:sz w:val="24"/>
          <w:szCs w:val="24"/>
        </w:rPr>
        <w:lastRenderedPageBreak/>
        <w:t>Figure 1. Répartition des cas selon le genre</w:t>
      </w:r>
    </w:p>
    <w:p w14:paraId="722DE0DD" w14:textId="77777777" w:rsidR="00320CA0" w:rsidRPr="009A5B59" w:rsidRDefault="00320CA0" w:rsidP="00320CA0">
      <w:pPr>
        <w:tabs>
          <w:tab w:val="left" w:pos="5535"/>
        </w:tabs>
        <w:spacing w:line="240" w:lineRule="auto"/>
        <w:ind w:hanging="2"/>
        <w:jc w:val="both"/>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 xml:space="preserve">L’âge des patients variait de 5 à 66 ans avec une moyenne de 38,7 ans +/- 15,7 ans (figure 2). </w:t>
      </w:r>
    </w:p>
    <w:p w14:paraId="65186BE7" w14:textId="77777777" w:rsidR="002D7B20" w:rsidRDefault="002D7B20" w:rsidP="002D7B20">
      <w:pPr>
        <w:tabs>
          <w:tab w:val="left" w:pos="5535"/>
        </w:tabs>
        <w:spacing w:line="240" w:lineRule="auto"/>
        <w:ind w:hanging="2"/>
        <w:jc w:val="both"/>
        <w:rPr>
          <w:rFonts w:ascii="Times New Roman" w:eastAsia="Times New Roman" w:hAnsi="Times New Roman" w:cs="Times New Roman"/>
          <w:sz w:val="24"/>
          <w:szCs w:val="24"/>
        </w:rPr>
      </w:pPr>
      <w:r w:rsidRPr="009B3984">
        <w:rPr>
          <w:rFonts w:ascii="Times New Roman" w:eastAsia="Times New Roman" w:hAnsi="Times New Roman" w:cs="Times New Roman"/>
          <w:noProof/>
          <w:sz w:val="24"/>
          <w:szCs w:val="24"/>
          <w:lang w:eastAsia="fr-FR"/>
        </w:rPr>
        <w:drawing>
          <wp:inline distT="0" distB="0" distL="0" distR="0" wp14:anchorId="74ACCD41" wp14:editId="244B3A1E">
            <wp:extent cx="2524125" cy="1914525"/>
            <wp:effectExtent l="0" t="0" r="0" b="0"/>
            <wp:docPr id="2081819284" name="Graphique 208181928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4F0733A" w14:textId="77777777" w:rsidR="00320CA0" w:rsidRPr="009A5B59" w:rsidRDefault="00320CA0" w:rsidP="00320CA0">
      <w:pPr>
        <w:tabs>
          <w:tab w:val="left" w:pos="5535"/>
        </w:tabs>
        <w:spacing w:line="240" w:lineRule="auto"/>
        <w:ind w:hanging="2"/>
        <w:jc w:val="both"/>
        <w:rPr>
          <w:rFonts w:ascii="Times New Roman" w:eastAsia="Times New Roman" w:hAnsi="Times New Roman" w:cs="Times New Roman"/>
          <w:bCs/>
          <w:sz w:val="24"/>
          <w:szCs w:val="24"/>
        </w:rPr>
      </w:pPr>
      <w:r w:rsidRPr="009A5B59">
        <w:rPr>
          <w:rFonts w:ascii="Times New Roman" w:eastAsia="Times New Roman" w:hAnsi="Times New Roman" w:cs="Times New Roman"/>
          <w:bCs/>
          <w:sz w:val="24"/>
          <w:szCs w:val="24"/>
        </w:rPr>
        <w:t>Figure 2. Répartition des patients selon la tranche d’âge</w:t>
      </w:r>
    </w:p>
    <w:p w14:paraId="47817101" w14:textId="77777777" w:rsidR="00320CA0" w:rsidRPr="009A5B59" w:rsidRDefault="002D7B20" w:rsidP="002D7B20">
      <w:pPr>
        <w:tabs>
          <w:tab w:val="left" w:pos="5535"/>
        </w:tabs>
        <w:spacing w:line="240" w:lineRule="auto"/>
        <w:ind w:hanging="2"/>
        <w:jc w:val="both"/>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 xml:space="preserve">Dans 13/17 cas, la circonstance de découverte n’a pas été mentionnée dans les fiches de liaison. Dans les 4 cas où elle a été décrite, il s’agit de 3 cas de syndrome d’hypertension </w:t>
      </w:r>
      <w:proofErr w:type="spellStart"/>
      <w:r w:rsidRPr="009A5B59">
        <w:rPr>
          <w:rFonts w:ascii="Times New Roman" w:eastAsia="Times New Roman" w:hAnsi="Times New Roman" w:cs="Times New Roman"/>
          <w:sz w:val="24"/>
          <w:szCs w:val="24"/>
        </w:rPr>
        <w:t>intra-cranienne</w:t>
      </w:r>
      <w:proofErr w:type="spellEnd"/>
      <w:r w:rsidRPr="009A5B59">
        <w:rPr>
          <w:rFonts w:ascii="Times New Roman" w:eastAsia="Times New Roman" w:hAnsi="Times New Roman" w:cs="Times New Roman"/>
          <w:sz w:val="24"/>
          <w:szCs w:val="24"/>
        </w:rPr>
        <w:t xml:space="preserve"> et 1 cas de troubles visuels et de la marche. La localisation n’a pas été spécifiée dans 58,8% des cas (tableau I). </w:t>
      </w:r>
    </w:p>
    <w:p w14:paraId="4BD913CC" w14:textId="77777777" w:rsidR="00491DB9" w:rsidRPr="009A5B59" w:rsidRDefault="00491DB9" w:rsidP="00491DB9">
      <w:pPr>
        <w:tabs>
          <w:tab w:val="left" w:pos="5535"/>
        </w:tabs>
        <w:spacing w:line="240" w:lineRule="auto"/>
        <w:ind w:hanging="2"/>
        <w:jc w:val="both"/>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Tableau I. Répartition selon le siège de la lésion au scanner</w:t>
      </w:r>
    </w:p>
    <w:tbl>
      <w:tblPr>
        <w:tblW w:w="4611" w:type="dxa"/>
        <w:tblInd w:w="-108" w:type="dxa"/>
        <w:tblLayout w:type="fixed"/>
        <w:tblLook w:val="0000" w:firstRow="0" w:lastRow="0" w:firstColumn="0" w:lastColumn="0" w:noHBand="0" w:noVBand="0"/>
      </w:tblPr>
      <w:tblGrid>
        <w:gridCol w:w="1776"/>
        <w:gridCol w:w="992"/>
        <w:gridCol w:w="1843"/>
      </w:tblGrid>
      <w:tr w:rsidR="009A5B59" w:rsidRPr="009A5B59" w14:paraId="09E59FEB" w14:textId="77777777" w:rsidTr="00491DB9">
        <w:trPr>
          <w:trHeight w:val="317"/>
        </w:trPr>
        <w:tc>
          <w:tcPr>
            <w:tcW w:w="1776" w:type="dxa"/>
            <w:tcBorders>
              <w:top w:val="single" w:sz="4" w:space="0" w:color="000000"/>
              <w:bottom w:val="single" w:sz="4" w:space="0" w:color="000000"/>
            </w:tcBorders>
          </w:tcPr>
          <w:p w14:paraId="61D94A2E" w14:textId="77777777" w:rsidR="00320CA0" w:rsidRPr="009A5B59" w:rsidRDefault="00320CA0" w:rsidP="00320CA0">
            <w:pPr>
              <w:tabs>
                <w:tab w:val="left" w:pos="5535"/>
              </w:tabs>
              <w:spacing w:after="0" w:line="240" w:lineRule="auto"/>
              <w:ind w:hanging="2"/>
              <w:jc w:val="both"/>
              <w:rPr>
                <w:rFonts w:ascii="Times New Roman" w:eastAsia="Times New Roman" w:hAnsi="Times New Roman" w:cs="Times New Roman"/>
                <w:b/>
                <w:sz w:val="24"/>
                <w:szCs w:val="24"/>
              </w:rPr>
            </w:pPr>
            <w:r w:rsidRPr="009A5B59">
              <w:rPr>
                <w:rFonts w:ascii="Times New Roman" w:eastAsia="Times New Roman" w:hAnsi="Times New Roman" w:cs="Times New Roman"/>
                <w:b/>
                <w:sz w:val="24"/>
                <w:szCs w:val="24"/>
              </w:rPr>
              <w:t>Localisation</w:t>
            </w:r>
          </w:p>
        </w:tc>
        <w:tc>
          <w:tcPr>
            <w:tcW w:w="992" w:type="dxa"/>
            <w:tcBorders>
              <w:top w:val="single" w:sz="4" w:space="0" w:color="000000"/>
              <w:bottom w:val="single" w:sz="4" w:space="0" w:color="000000"/>
            </w:tcBorders>
          </w:tcPr>
          <w:p w14:paraId="67FFB514" w14:textId="77777777" w:rsidR="00320CA0" w:rsidRPr="009A5B59" w:rsidRDefault="00320CA0" w:rsidP="00320CA0">
            <w:pPr>
              <w:tabs>
                <w:tab w:val="left" w:pos="5535"/>
              </w:tabs>
              <w:spacing w:after="0" w:line="240" w:lineRule="auto"/>
              <w:ind w:hanging="2"/>
              <w:jc w:val="center"/>
              <w:rPr>
                <w:rFonts w:ascii="Times New Roman" w:eastAsia="Times New Roman" w:hAnsi="Times New Roman" w:cs="Times New Roman"/>
                <w:b/>
                <w:sz w:val="24"/>
                <w:szCs w:val="24"/>
              </w:rPr>
            </w:pPr>
            <w:r w:rsidRPr="009A5B59">
              <w:rPr>
                <w:rFonts w:ascii="Times New Roman" w:eastAsia="Times New Roman" w:hAnsi="Times New Roman" w:cs="Times New Roman"/>
                <w:b/>
                <w:sz w:val="24"/>
                <w:szCs w:val="24"/>
              </w:rPr>
              <w:t>Effectif</w:t>
            </w:r>
          </w:p>
          <w:p w14:paraId="57D2AF75" w14:textId="77777777" w:rsidR="00320CA0" w:rsidRPr="009A5B59" w:rsidRDefault="00320CA0" w:rsidP="00320CA0">
            <w:pPr>
              <w:tabs>
                <w:tab w:val="left" w:pos="5535"/>
              </w:tabs>
              <w:spacing w:after="0" w:line="240" w:lineRule="auto"/>
              <w:ind w:hanging="2"/>
              <w:jc w:val="center"/>
              <w:rPr>
                <w:rFonts w:ascii="Times New Roman" w:eastAsia="Times New Roman" w:hAnsi="Times New Roman" w:cs="Times New Roman"/>
                <w:b/>
                <w:sz w:val="24"/>
                <w:szCs w:val="24"/>
              </w:rPr>
            </w:pPr>
            <w:r w:rsidRPr="009A5B59">
              <w:rPr>
                <w:rFonts w:ascii="Times New Roman" w:eastAsia="Times New Roman" w:hAnsi="Times New Roman" w:cs="Times New Roman"/>
                <w:b/>
                <w:sz w:val="24"/>
                <w:szCs w:val="24"/>
              </w:rPr>
              <w:t>(</w:t>
            </w:r>
            <w:proofErr w:type="gramStart"/>
            <w:r w:rsidRPr="009A5B59">
              <w:rPr>
                <w:rFonts w:ascii="Times New Roman" w:eastAsia="Times New Roman" w:hAnsi="Times New Roman" w:cs="Times New Roman"/>
                <w:b/>
                <w:sz w:val="24"/>
                <w:szCs w:val="24"/>
              </w:rPr>
              <w:t>n</w:t>
            </w:r>
            <w:proofErr w:type="gramEnd"/>
            <w:r w:rsidRPr="009A5B59">
              <w:rPr>
                <w:rFonts w:ascii="Times New Roman" w:eastAsia="Times New Roman" w:hAnsi="Times New Roman" w:cs="Times New Roman"/>
                <w:b/>
                <w:sz w:val="24"/>
                <w:szCs w:val="24"/>
              </w:rPr>
              <w:t>=17)</w:t>
            </w:r>
          </w:p>
        </w:tc>
        <w:tc>
          <w:tcPr>
            <w:tcW w:w="1843" w:type="dxa"/>
            <w:tcBorders>
              <w:top w:val="single" w:sz="4" w:space="0" w:color="000000"/>
              <w:bottom w:val="single" w:sz="4" w:space="0" w:color="000000"/>
            </w:tcBorders>
          </w:tcPr>
          <w:p w14:paraId="48A20A9F" w14:textId="77777777" w:rsidR="00320CA0" w:rsidRPr="009A5B59" w:rsidRDefault="00320CA0" w:rsidP="00320CA0">
            <w:pPr>
              <w:tabs>
                <w:tab w:val="left" w:pos="5535"/>
              </w:tabs>
              <w:spacing w:after="0" w:line="240" w:lineRule="auto"/>
              <w:ind w:hanging="2"/>
              <w:jc w:val="center"/>
              <w:rPr>
                <w:rFonts w:ascii="Times New Roman" w:eastAsia="Times New Roman" w:hAnsi="Times New Roman" w:cs="Times New Roman"/>
                <w:b/>
                <w:sz w:val="24"/>
                <w:szCs w:val="24"/>
              </w:rPr>
            </w:pPr>
            <w:r w:rsidRPr="009A5B59">
              <w:rPr>
                <w:rFonts w:ascii="Times New Roman" w:eastAsia="Times New Roman" w:hAnsi="Times New Roman" w:cs="Times New Roman"/>
                <w:b/>
                <w:sz w:val="24"/>
                <w:szCs w:val="24"/>
              </w:rPr>
              <w:t>Pourcentage</w:t>
            </w:r>
          </w:p>
          <w:p w14:paraId="0B7E5DEA" w14:textId="77777777" w:rsidR="00320CA0" w:rsidRPr="009A5B59" w:rsidRDefault="00320CA0" w:rsidP="00320CA0">
            <w:pPr>
              <w:tabs>
                <w:tab w:val="left" w:pos="5535"/>
              </w:tabs>
              <w:spacing w:after="0" w:line="240" w:lineRule="auto"/>
              <w:ind w:hanging="2"/>
              <w:jc w:val="center"/>
              <w:rPr>
                <w:rFonts w:ascii="Times New Roman" w:eastAsia="Times New Roman" w:hAnsi="Times New Roman" w:cs="Times New Roman"/>
                <w:b/>
                <w:sz w:val="24"/>
                <w:szCs w:val="24"/>
              </w:rPr>
            </w:pPr>
            <w:r w:rsidRPr="009A5B59">
              <w:rPr>
                <w:rFonts w:ascii="Times New Roman" w:eastAsia="Times New Roman" w:hAnsi="Times New Roman" w:cs="Times New Roman"/>
                <w:b/>
                <w:sz w:val="24"/>
                <w:szCs w:val="24"/>
              </w:rPr>
              <w:t>(%)</w:t>
            </w:r>
          </w:p>
        </w:tc>
      </w:tr>
      <w:tr w:rsidR="009A5B59" w:rsidRPr="009A5B59" w14:paraId="7CB8A9B4" w14:textId="77777777" w:rsidTr="00491DB9">
        <w:trPr>
          <w:trHeight w:val="323"/>
        </w:trPr>
        <w:tc>
          <w:tcPr>
            <w:tcW w:w="1776" w:type="dxa"/>
            <w:tcBorders>
              <w:top w:val="single" w:sz="4" w:space="0" w:color="000000"/>
            </w:tcBorders>
          </w:tcPr>
          <w:p w14:paraId="4934BFE8" w14:textId="77777777" w:rsidR="00320CA0" w:rsidRPr="009A5B59" w:rsidRDefault="00320CA0" w:rsidP="00320CA0">
            <w:pPr>
              <w:tabs>
                <w:tab w:val="left" w:pos="5535"/>
              </w:tabs>
              <w:spacing w:after="0" w:line="240" w:lineRule="auto"/>
              <w:ind w:hanging="2"/>
              <w:jc w:val="both"/>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Frontale</w:t>
            </w:r>
          </w:p>
        </w:tc>
        <w:tc>
          <w:tcPr>
            <w:tcW w:w="992" w:type="dxa"/>
            <w:tcBorders>
              <w:top w:val="single" w:sz="4" w:space="0" w:color="000000"/>
            </w:tcBorders>
          </w:tcPr>
          <w:p w14:paraId="07B2F057" w14:textId="77777777" w:rsidR="00320CA0" w:rsidRPr="009A5B59" w:rsidRDefault="00320CA0" w:rsidP="00320CA0">
            <w:pPr>
              <w:tabs>
                <w:tab w:val="left" w:pos="5535"/>
              </w:tabs>
              <w:spacing w:after="0" w:line="240" w:lineRule="auto"/>
              <w:ind w:hanging="2"/>
              <w:jc w:val="center"/>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02</w:t>
            </w:r>
          </w:p>
        </w:tc>
        <w:tc>
          <w:tcPr>
            <w:tcW w:w="1843" w:type="dxa"/>
            <w:tcBorders>
              <w:top w:val="single" w:sz="4" w:space="0" w:color="000000"/>
            </w:tcBorders>
          </w:tcPr>
          <w:p w14:paraId="76BAF0E6" w14:textId="77777777" w:rsidR="00320CA0" w:rsidRPr="009A5B59" w:rsidRDefault="00320CA0" w:rsidP="00320CA0">
            <w:pPr>
              <w:tabs>
                <w:tab w:val="left" w:pos="5535"/>
              </w:tabs>
              <w:spacing w:after="0" w:line="360" w:lineRule="auto"/>
              <w:ind w:hanging="2"/>
              <w:jc w:val="center"/>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11,8</w:t>
            </w:r>
          </w:p>
        </w:tc>
      </w:tr>
      <w:tr w:rsidR="009A5B59" w:rsidRPr="009A5B59" w14:paraId="65BCEBC4" w14:textId="77777777" w:rsidTr="00491DB9">
        <w:trPr>
          <w:trHeight w:val="325"/>
        </w:trPr>
        <w:tc>
          <w:tcPr>
            <w:tcW w:w="1776" w:type="dxa"/>
          </w:tcPr>
          <w:p w14:paraId="53534BDC" w14:textId="77777777" w:rsidR="00320CA0" w:rsidRPr="009A5B59" w:rsidRDefault="00320CA0" w:rsidP="00320CA0">
            <w:pPr>
              <w:tabs>
                <w:tab w:val="left" w:pos="5535"/>
              </w:tabs>
              <w:spacing w:after="0" w:line="240" w:lineRule="auto"/>
              <w:ind w:hanging="2"/>
              <w:jc w:val="both"/>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Fosse postérieure</w:t>
            </w:r>
          </w:p>
        </w:tc>
        <w:tc>
          <w:tcPr>
            <w:tcW w:w="992" w:type="dxa"/>
          </w:tcPr>
          <w:p w14:paraId="3D921F4C" w14:textId="77777777" w:rsidR="00320CA0" w:rsidRPr="009A5B59" w:rsidRDefault="00320CA0" w:rsidP="00320CA0">
            <w:pPr>
              <w:tabs>
                <w:tab w:val="left" w:pos="5535"/>
              </w:tabs>
              <w:spacing w:after="0" w:line="240" w:lineRule="auto"/>
              <w:ind w:hanging="2"/>
              <w:jc w:val="center"/>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02</w:t>
            </w:r>
          </w:p>
        </w:tc>
        <w:tc>
          <w:tcPr>
            <w:tcW w:w="1843" w:type="dxa"/>
          </w:tcPr>
          <w:p w14:paraId="29C7816D" w14:textId="77777777" w:rsidR="00320CA0" w:rsidRPr="009A5B59" w:rsidRDefault="00320CA0" w:rsidP="00320CA0">
            <w:pPr>
              <w:tabs>
                <w:tab w:val="left" w:pos="5535"/>
              </w:tabs>
              <w:spacing w:after="0" w:line="360" w:lineRule="auto"/>
              <w:ind w:hanging="2"/>
              <w:jc w:val="center"/>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11,8</w:t>
            </w:r>
          </w:p>
        </w:tc>
      </w:tr>
      <w:tr w:rsidR="009A5B59" w:rsidRPr="009A5B59" w14:paraId="3BBDB941" w14:textId="77777777" w:rsidTr="00491DB9">
        <w:trPr>
          <w:trHeight w:val="204"/>
        </w:trPr>
        <w:tc>
          <w:tcPr>
            <w:tcW w:w="1776" w:type="dxa"/>
          </w:tcPr>
          <w:p w14:paraId="1BADAEBF" w14:textId="77777777" w:rsidR="00320CA0" w:rsidRPr="009A5B59" w:rsidRDefault="00320CA0" w:rsidP="00320CA0">
            <w:pPr>
              <w:tabs>
                <w:tab w:val="left" w:pos="5535"/>
              </w:tabs>
              <w:spacing w:after="0" w:line="240" w:lineRule="auto"/>
              <w:ind w:hanging="2"/>
              <w:jc w:val="both"/>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Pariétale</w:t>
            </w:r>
          </w:p>
        </w:tc>
        <w:tc>
          <w:tcPr>
            <w:tcW w:w="992" w:type="dxa"/>
          </w:tcPr>
          <w:p w14:paraId="7115A87B" w14:textId="77777777" w:rsidR="00320CA0" w:rsidRPr="009A5B59" w:rsidRDefault="00320CA0" w:rsidP="00320CA0">
            <w:pPr>
              <w:tabs>
                <w:tab w:val="left" w:pos="5535"/>
              </w:tabs>
              <w:spacing w:after="0" w:line="240" w:lineRule="auto"/>
              <w:ind w:hanging="2"/>
              <w:jc w:val="center"/>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02</w:t>
            </w:r>
          </w:p>
        </w:tc>
        <w:tc>
          <w:tcPr>
            <w:tcW w:w="1843" w:type="dxa"/>
          </w:tcPr>
          <w:p w14:paraId="66ED6161" w14:textId="77777777" w:rsidR="00320CA0" w:rsidRPr="009A5B59" w:rsidRDefault="00320CA0" w:rsidP="00320CA0">
            <w:pPr>
              <w:tabs>
                <w:tab w:val="left" w:pos="5535"/>
              </w:tabs>
              <w:spacing w:after="0" w:line="360" w:lineRule="auto"/>
              <w:ind w:hanging="2"/>
              <w:jc w:val="center"/>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11,8</w:t>
            </w:r>
          </w:p>
        </w:tc>
      </w:tr>
      <w:tr w:rsidR="009A5B59" w:rsidRPr="009A5B59" w14:paraId="512996E1" w14:textId="77777777" w:rsidTr="00491DB9">
        <w:trPr>
          <w:trHeight w:val="351"/>
        </w:trPr>
        <w:tc>
          <w:tcPr>
            <w:tcW w:w="1776" w:type="dxa"/>
          </w:tcPr>
          <w:p w14:paraId="7878C57B" w14:textId="77777777" w:rsidR="00320CA0" w:rsidRPr="009A5B59" w:rsidRDefault="00320CA0" w:rsidP="00320CA0">
            <w:pPr>
              <w:tabs>
                <w:tab w:val="left" w:pos="5535"/>
              </w:tabs>
              <w:spacing w:after="0" w:line="240" w:lineRule="auto"/>
              <w:ind w:hanging="2"/>
              <w:jc w:val="both"/>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Intra-axiale</w:t>
            </w:r>
          </w:p>
        </w:tc>
        <w:tc>
          <w:tcPr>
            <w:tcW w:w="992" w:type="dxa"/>
          </w:tcPr>
          <w:p w14:paraId="4C3CFBD7" w14:textId="77777777" w:rsidR="00320CA0" w:rsidRPr="009A5B59" w:rsidRDefault="00320CA0" w:rsidP="00320CA0">
            <w:pPr>
              <w:tabs>
                <w:tab w:val="left" w:pos="5535"/>
              </w:tabs>
              <w:spacing w:after="0" w:line="240" w:lineRule="auto"/>
              <w:ind w:hanging="2"/>
              <w:jc w:val="center"/>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01</w:t>
            </w:r>
          </w:p>
        </w:tc>
        <w:tc>
          <w:tcPr>
            <w:tcW w:w="1843" w:type="dxa"/>
          </w:tcPr>
          <w:p w14:paraId="5A964032" w14:textId="77777777" w:rsidR="00320CA0" w:rsidRPr="009A5B59" w:rsidRDefault="00320CA0" w:rsidP="00320CA0">
            <w:pPr>
              <w:tabs>
                <w:tab w:val="left" w:pos="5535"/>
              </w:tabs>
              <w:spacing w:after="0" w:line="360" w:lineRule="auto"/>
              <w:ind w:hanging="2"/>
              <w:jc w:val="center"/>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5,9</w:t>
            </w:r>
          </w:p>
        </w:tc>
      </w:tr>
      <w:tr w:rsidR="009A5B59" w:rsidRPr="009A5B59" w14:paraId="54A52FFA" w14:textId="77777777" w:rsidTr="00491DB9">
        <w:trPr>
          <w:trHeight w:val="230"/>
        </w:trPr>
        <w:tc>
          <w:tcPr>
            <w:tcW w:w="1776" w:type="dxa"/>
            <w:tcBorders>
              <w:bottom w:val="single" w:sz="4" w:space="0" w:color="000000"/>
            </w:tcBorders>
          </w:tcPr>
          <w:p w14:paraId="438E11FA" w14:textId="77777777" w:rsidR="00320CA0" w:rsidRPr="009A5B59" w:rsidRDefault="00320CA0" w:rsidP="00320CA0">
            <w:pPr>
              <w:tabs>
                <w:tab w:val="left" w:pos="5535"/>
              </w:tabs>
              <w:spacing w:after="0" w:line="240" w:lineRule="auto"/>
              <w:ind w:hanging="2"/>
              <w:jc w:val="both"/>
              <w:rPr>
                <w:rFonts w:ascii="Times New Roman" w:eastAsia="Times New Roman" w:hAnsi="Times New Roman" w:cs="Times New Roman"/>
                <w:sz w:val="24"/>
                <w:szCs w:val="24"/>
              </w:rPr>
            </w:pPr>
            <w:r w:rsidRPr="009A5B59">
              <w:rPr>
                <w:rFonts w:ascii="Times New Roman" w:eastAsia="Times New Roman" w:hAnsi="Times New Roman" w:cs="Times New Roman"/>
                <w:b/>
                <w:sz w:val="24"/>
                <w:szCs w:val="24"/>
              </w:rPr>
              <w:t>Cérébrale sans précision</w:t>
            </w:r>
          </w:p>
        </w:tc>
        <w:tc>
          <w:tcPr>
            <w:tcW w:w="992" w:type="dxa"/>
            <w:tcBorders>
              <w:bottom w:val="single" w:sz="4" w:space="0" w:color="000000"/>
            </w:tcBorders>
          </w:tcPr>
          <w:p w14:paraId="3C546E4D" w14:textId="77777777" w:rsidR="00320CA0" w:rsidRPr="009A5B59" w:rsidRDefault="00320CA0" w:rsidP="00320CA0">
            <w:pPr>
              <w:tabs>
                <w:tab w:val="left" w:pos="5535"/>
              </w:tabs>
              <w:spacing w:after="0" w:line="240" w:lineRule="auto"/>
              <w:ind w:hanging="2"/>
              <w:jc w:val="center"/>
              <w:rPr>
                <w:rFonts w:ascii="Times New Roman" w:eastAsia="Times New Roman" w:hAnsi="Times New Roman" w:cs="Times New Roman"/>
                <w:sz w:val="24"/>
                <w:szCs w:val="24"/>
              </w:rPr>
            </w:pPr>
            <w:r w:rsidRPr="009A5B59">
              <w:rPr>
                <w:rFonts w:ascii="Times New Roman" w:eastAsia="Times New Roman" w:hAnsi="Times New Roman" w:cs="Times New Roman"/>
                <w:b/>
                <w:sz w:val="24"/>
                <w:szCs w:val="24"/>
              </w:rPr>
              <w:t>10</w:t>
            </w:r>
          </w:p>
        </w:tc>
        <w:tc>
          <w:tcPr>
            <w:tcW w:w="1843" w:type="dxa"/>
            <w:tcBorders>
              <w:bottom w:val="single" w:sz="4" w:space="0" w:color="000000"/>
            </w:tcBorders>
          </w:tcPr>
          <w:p w14:paraId="0E184895" w14:textId="77777777" w:rsidR="00320CA0" w:rsidRPr="009A5B59" w:rsidRDefault="00320CA0" w:rsidP="00320CA0">
            <w:pPr>
              <w:tabs>
                <w:tab w:val="left" w:pos="5535"/>
              </w:tabs>
              <w:spacing w:after="0" w:line="360" w:lineRule="auto"/>
              <w:ind w:hanging="2"/>
              <w:jc w:val="center"/>
              <w:rPr>
                <w:rFonts w:ascii="Times New Roman" w:eastAsia="Times New Roman" w:hAnsi="Times New Roman" w:cs="Times New Roman"/>
                <w:sz w:val="24"/>
                <w:szCs w:val="24"/>
              </w:rPr>
            </w:pPr>
            <w:r w:rsidRPr="009A5B59">
              <w:rPr>
                <w:rFonts w:ascii="Times New Roman" w:eastAsia="Times New Roman" w:hAnsi="Times New Roman" w:cs="Times New Roman"/>
                <w:b/>
                <w:sz w:val="24"/>
                <w:szCs w:val="24"/>
              </w:rPr>
              <w:t>58,8</w:t>
            </w:r>
          </w:p>
        </w:tc>
      </w:tr>
    </w:tbl>
    <w:p w14:paraId="602E7E55" w14:textId="77777777" w:rsidR="00491DB9" w:rsidRPr="009A5B59" w:rsidRDefault="002D7B20" w:rsidP="00491DB9">
      <w:pPr>
        <w:tabs>
          <w:tab w:val="left" w:pos="5535"/>
        </w:tabs>
        <w:spacing w:before="240" w:line="240" w:lineRule="auto"/>
        <w:ind w:hanging="2"/>
        <w:jc w:val="both"/>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Le type histologique le plus souvent observé a été l’</w:t>
      </w:r>
      <w:proofErr w:type="spellStart"/>
      <w:r w:rsidRPr="009A5B59">
        <w:rPr>
          <w:rFonts w:ascii="Times New Roman" w:eastAsia="Times New Roman" w:hAnsi="Times New Roman" w:cs="Times New Roman"/>
          <w:sz w:val="24"/>
          <w:szCs w:val="24"/>
        </w:rPr>
        <w:t>oligoastrocytome</w:t>
      </w:r>
      <w:proofErr w:type="spellEnd"/>
      <w:r w:rsidRPr="009A5B59">
        <w:rPr>
          <w:rFonts w:ascii="Times New Roman" w:eastAsia="Times New Roman" w:hAnsi="Times New Roman" w:cs="Times New Roman"/>
          <w:sz w:val="24"/>
          <w:szCs w:val="24"/>
        </w:rPr>
        <w:t xml:space="preserve"> avec 6 cas, soit 35,3% (tableau II). </w:t>
      </w:r>
    </w:p>
    <w:p w14:paraId="72B16E06" w14:textId="77777777" w:rsidR="00491DB9" w:rsidRPr="009A5B59" w:rsidRDefault="009A5B59" w:rsidP="00491DB9">
      <w:pPr>
        <w:tabs>
          <w:tab w:val="left" w:pos="5535"/>
        </w:tabs>
        <w:spacing w:line="240" w:lineRule="auto"/>
        <w:ind w:hanging="2"/>
        <w:jc w:val="both"/>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T</w:t>
      </w:r>
      <w:r w:rsidR="00491DB9" w:rsidRPr="009A5B59">
        <w:rPr>
          <w:rFonts w:ascii="Times New Roman" w:eastAsia="Times New Roman" w:hAnsi="Times New Roman" w:cs="Times New Roman"/>
          <w:sz w:val="24"/>
          <w:szCs w:val="24"/>
        </w:rPr>
        <w:t>ableau II. Répartition des cas selon le type histologique</w:t>
      </w:r>
    </w:p>
    <w:tbl>
      <w:tblPr>
        <w:tblW w:w="5598" w:type="dxa"/>
        <w:tblInd w:w="-108" w:type="dxa"/>
        <w:tblLayout w:type="fixed"/>
        <w:tblLook w:val="0000" w:firstRow="0" w:lastRow="0" w:firstColumn="0" w:lastColumn="0" w:noHBand="0" w:noVBand="0"/>
      </w:tblPr>
      <w:tblGrid>
        <w:gridCol w:w="2607"/>
        <w:gridCol w:w="1447"/>
        <w:gridCol w:w="1544"/>
      </w:tblGrid>
      <w:tr w:rsidR="009A5B59" w:rsidRPr="009A5B59" w14:paraId="5C6CD143" w14:textId="77777777" w:rsidTr="009A5B59">
        <w:trPr>
          <w:trHeight w:val="595"/>
        </w:trPr>
        <w:tc>
          <w:tcPr>
            <w:tcW w:w="2607" w:type="dxa"/>
            <w:tcBorders>
              <w:top w:val="single" w:sz="4" w:space="0" w:color="000000"/>
              <w:bottom w:val="single" w:sz="4" w:space="0" w:color="000000"/>
            </w:tcBorders>
          </w:tcPr>
          <w:p w14:paraId="1BD6D2A5" w14:textId="77777777" w:rsidR="00491DB9" w:rsidRPr="009A5B59" w:rsidRDefault="00491DB9" w:rsidP="00491DB9">
            <w:pPr>
              <w:tabs>
                <w:tab w:val="left" w:pos="5535"/>
              </w:tabs>
              <w:spacing w:after="0" w:line="240" w:lineRule="auto"/>
              <w:ind w:hanging="2"/>
              <w:jc w:val="both"/>
              <w:rPr>
                <w:rFonts w:ascii="Times New Roman" w:eastAsia="Times New Roman" w:hAnsi="Times New Roman" w:cs="Times New Roman"/>
                <w:b/>
                <w:sz w:val="24"/>
                <w:szCs w:val="24"/>
              </w:rPr>
            </w:pPr>
            <w:r w:rsidRPr="009A5B59">
              <w:rPr>
                <w:rFonts w:ascii="Times New Roman" w:eastAsia="Times New Roman" w:hAnsi="Times New Roman" w:cs="Times New Roman"/>
                <w:b/>
                <w:sz w:val="24"/>
                <w:szCs w:val="24"/>
              </w:rPr>
              <w:t>Type histologique</w:t>
            </w:r>
          </w:p>
        </w:tc>
        <w:tc>
          <w:tcPr>
            <w:tcW w:w="1447" w:type="dxa"/>
            <w:tcBorders>
              <w:top w:val="single" w:sz="4" w:space="0" w:color="000000"/>
              <w:bottom w:val="single" w:sz="4" w:space="0" w:color="000000"/>
            </w:tcBorders>
          </w:tcPr>
          <w:p w14:paraId="1B5BBE2A" w14:textId="77777777" w:rsidR="00491DB9" w:rsidRPr="009A5B59" w:rsidRDefault="00491DB9" w:rsidP="00491DB9">
            <w:pPr>
              <w:tabs>
                <w:tab w:val="left" w:pos="5535"/>
              </w:tabs>
              <w:spacing w:after="0" w:line="240" w:lineRule="auto"/>
              <w:ind w:hanging="2"/>
              <w:jc w:val="center"/>
              <w:rPr>
                <w:rFonts w:ascii="Times New Roman" w:eastAsia="Times New Roman" w:hAnsi="Times New Roman" w:cs="Times New Roman"/>
                <w:b/>
                <w:sz w:val="24"/>
                <w:szCs w:val="24"/>
              </w:rPr>
            </w:pPr>
            <w:r w:rsidRPr="009A5B59">
              <w:rPr>
                <w:rFonts w:ascii="Times New Roman" w:eastAsia="Times New Roman" w:hAnsi="Times New Roman" w:cs="Times New Roman"/>
                <w:b/>
                <w:sz w:val="24"/>
                <w:szCs w:val="24"/>
              </w:rPr>
              <w:t>Effectif</w:t>
            </w:r>
          </w:p>
          <w:p w14:paraId="299B09E8" w14:textId="77777777" w:rsidR="00491DB9" w:rsidRPr="009A5B59" w:rsidRDefault="00491DB9" w:rsidP="00491DB9">
            <w:pPr>
              <w:tabs>
                <w:tab w:val="left" w:pos="5535"/>
              </w:tabs>
              <w:spacing w:after="0" w:line="240" w:lineRule="auto"/>
              <w:ind w:hanging="2"/>
              <w:jc w:val="center"/>
              <w:rPr>
                <w:rFonts w:ascii="Times New Roman" w:eastAsia="Times New Roman" w:hAnsi="Times New Roman" w:cs="Times New Roman"/>
                <w:b/>
                <w:sz w:val="24"/>
                <w:szCs w:val="24"/>
              </w:rPr>
            </w:pPr>
            <w:r w:rsidRPr="009A5B59">
              <w:rPr>
                <w:rFonts w:ascii="Times New Roman" w:eastAsia="Times New Roman" w:hAnsi="Times New Roman" w:cs="Times New Roman"/>
                <w:b/>
                <w:sz w:val="24"/>
                <w:szCs w:val="24"/>
              </w:rPr>
              <w:t>(</w:t>
            </w:r>
            <w:proofErr w:type="gramStart"/>
            <w:r w:rsidRPr="009A5B59">
              <w:rPr>
                <w:rFonts w:ascii="Times New Roman" w:eastAsia="Times New Roman" w:hAnsi="Times New Roman" w:cs="Times New Roman"/>
                <w:b/>
                <w:sz w:val="24"/>
                <w:szCs w:val="24"/>
              </w:rPr>
              <w:t>n</w:t>
            </w:r>
            <w:proofErr w:type="gramEnd"/>
            <w:r w:rsidRPr="009A5B59">
              <w:rPr>
                <w:rFonts w:ascii="Times New Roman" w:eastAsia="Times New Roman" w:hAnsi="Times New Roman" w:cs="Times New Roman"/>
                <w:b/>
                <w:sz w:val="24"/>
                <w:szCs w:val="24"/>
              </w:rPr>
              <w:t>=17)</w:t>
            </w:r>
          </w:p>
        </w:tc>
        <w:tc>
          <w:tcPr>
            <w:tcW w:w="1544" w:type="dxa"/>
            <w:tcBorders>
              <w:top w:val="single" w:sz="4" w:space="0" w:color="000000"/>
              <w:bottom w:val="single" w:sz="4" w:space="0" w:color="000000"/>
            </w:tcBorders>
          </w:tcPr>
          <w:p w14:paraId="3BD7C90C" w14:textId="77777777" w:rsidR="00491DB9" w:rsidRPr="009A5B59" w:rsidRDefault="00491DB9" w:rsidP="00491DB9">
            <w:pPr>
              <w:tabs>
                <w:tab w:val="left" w:pos="5535"/>
              </w:tabs>
              <w:spacing w:after="0" w:line="240" w:lineRule="auto"/>
              <w:ind w:hanging="2"/>
              <w:jc w:val="center"/>
              <w:rPr>
                <w:rFonts w:ascii="Times New Roman" w:eastAsia="Times New Roman" w:hAnsi="Times New Roman" w:cs="Times New Roman"/>
                <w:b/>
                <w:sz w:val="24"/>
                <w:szCs w:val="24"/>
              </w:rPr>
            </w:pPr>
            <w:r w:rsidRPr="009A5B59">
              <w:rPr>
                <w:rFonts w:ascii="Times New Roman" w:eastAsia="Times New Roman" w:hAnsi="Times New Roman" w:cs="Times New Roman"/>
                <w:b/>
                <w:sz w:val="24"/>
                <w:szCs w:val="24"/>
              </w:rPr>
              <w:t>Pourcentage</w:t>
            </w:r>
          </w:p>
          <w:p w14:paraId="60489AF0" w14:textId="77777777" w:rsidR="00491DB9" w:rsidRPr="009A5B59" w:rsidRDefault="00491DB9" w:rsidP="00491DB9">
            <w:pPr>
              <w:tabs>
                <w:tab w:val="left" w:pos="5535"/>
              </w:tabs>
              <w:spacing w:after="0" w:line="240" w:lineRule="auto"/>
              <w:ind w:hanging="2"/>
              <w:jc w:val="center"/>
              <w:rPr>
                <w:rFonts w:ascii="Times New Roman" w:eastAsia="Times New Roman" w:hAnsi="Times New Roman" w:cs="Times New Roman"/>
                <w:b/>
                <w:sz w:val="24"/>
                <w:szCs w:val="24"/>
              </w:rPr>
            </w:pPr>
            <w:r w:rsidRPr="009A5B59">
              <w:rPr>
                <w:rFonts w:ascii="Times New Roman" w:eastAsia="Times New Roman" w:hAnsi="Times New Roman" w:cs="Times New Roman"/>
                <w:b/>
                <w:sz w:val="24"/>
                <w:szCs w:val="24"/>
              </w:rPr>
              <w:t>(%)</w:t>
            </w:r>
          </w:p>
        </w:tc>
      </w:tr>
      <w:tr w:rsidR="009A5B59" w:rsidRPr="009A5B59" w14:paraId="4F573085" w14:textId="77777777" w:rsidTr="009A5B59">
        <w:trPr>
          <w:trHeight w:val="343"/>
        </w:trPr>
        <w:tc>
          <w:tcPr>
            <w:tcW w:w="2607" w:type="dxa"/>
            <w:tcBorders>
              <w:top w:val="single" w:sz="4" w:space="0" w:color="000000"/>
            </w:tcBorders>
          </w:tcPr>
          <w:p w14:paraId="55A4DCA4" w14:textId="77777777" w:rsidR="00491DB9" w:rsidRPr="009A5B59" w:rsidRDefault="00491DB9" w:rsidP="00491DB9">
            <w:pPr>
              <w:tabs>
                <w:tab w:val="left" w:pos="5535"/>
              </w:tabs>
              <w:spacing w:after="0" w:line="240" w:lineRule="auto"/>
              <w:ind w:hanging="2"/>
              <w:jc w:val="both"/>
              <w:rPr>
                <w:rFonts w:ascii="Times New Roman" w:eastAsia="Times New Roman" w:hAnsi="Times New Roman" w:cs="Times New Roman"/>
                <w:sz w:val="24"/>
                <w:szCs w:val="24"/>
              </w:rPr>
            </w:pPr>
            <w:proofErr w:type="spellStart"/>
            <w:r w:rsidRPr="009A5B59">
              <w:rPr>
                <w:rFonts w:ascii="Times New Roman" w:eastAsia="Times New Roman" w:hAnsi="Times New Roman" w:cs="Times New Roman"/>
                <w:sz w:val="24"/>
                <w:szCs w:val="24"/>
              </w:rPr>
              <w:t>Oligodendrogliome</w:t>
            </w:r>
            <w:proofErr w:type="spellEnd"/>
          </w:p>
        </w:tc>
        <w:tc>
          <w:tcPr>
            <w:tcW w:w="1447" w:type="dxa"/>
            <w:tcBorders>
              <w:top w:val="single" w:sz="4" w:space="0" w:color="000000"/>
            </w:tcBorders>
          </w:tcPr>
          <w:p w14:paraId="30B16F99" w14:textId="77777777" w:rsidR="00491DB9" w:rsidRPr="009A5B59" w:rsidRDefault="00491DB9" w:rsidP="00491DB9">
            <w:pPr>
              <w:tabs>
                <w:tab w:val="left" w:pos="5535"/>
              </w:tabs>
              <w:spacing w:after="0" w:line="240" w:lineRule="auto"/>
              <w:ind w:hanging="2"/>
              <w:jc w:val="center"/>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03</w:t>
            </w:r>
          </w:p>
        </w:tc>
        <w:tc>
          <w:tcPr>
            <w:tcW w:w="1544" w:type="dxa"/>
            <w:tcBorders>
              <w:top w:val="single" w:sz="4" w:space="0" w:color="000000"/>
            </w:tcBorders>
          </w:tcPr>
          <w:p w14:paraId="22130944" w14:textId="77777777" w:rsidR="00491DB9" w:rsidRPr="009A5B59" w:rsidRDefault="00491DB9" w:rsidP="00491DB9">
            <w:pPr>
              <w:tabs>
                <w:tab w:val="left" w:pos="5535"/>
              </w:tabs>
              <w:spacing w:after="0" w:line="240" w:lineRule="auto"/>
              <w:ind w:hanging="2"/>
              <w:jc w:val="center"/>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17,6</w:t>
            </w:r>
          </w:p>
        </w:tc>
      </w:tr>
      <w:tr w:rsidR="009A5B59" w:rsidRPr="009A5B59" w14:paraId="7A74CB2C" w14:textId="77777777" w:rsidTr="009A5B59">
        <w:trPr>
          <w:trHeight w:val="1301"/>
        </w:trPr>
        <w:tc>
          <w:tcPr>
            <w:tcW w:w="2607" w:type="dxa"/>
          </w:tcPr>
          <w:p w14:paraId="5EED4EB5" w14:textId="77777777" w:rsidR="00491DB9" w:rsidRPr="009A5B59" w:rsidRDefault="00491DB9" w:rsidP="00491DB9">
            <w:pPr>
              <w:tabs>
                <w:tab w:val="left" w:pos="5535"/>
              </w:tabs>
              <w:spacing w:after="0" w:line="240" w:lineRule="auto"/>
              <w:ind w:hanging="2"/>
              <w:jc w:val="both"/>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Astrocytome</w:t>
            </w:r>
          </w:p>
          <w:p w14:paraId="50F16146" w14:textId="77777777" w:rsidR="00491DB9" w:rsidRPr="009A5B59" w:rsidRDefault="00491DB9" w:rsidP="00491DB9">
            <w:pPr>
              <w:tabs>
                <w:tab w:val="left" w:pos="5535"/>
              </w:tabs>
              <w:spacing w:after="0" w:line="240" w:lineRule="auto"/>
              <w:ind w:left="-2" w:firstLineChars="224" w:firstLine="538"/>
              <w:jc w:val="both"/>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 Diffus</w:t>
            </w:r>
          </w:p>
          <w:p w14:paraId="572DAD5E" w14:textId="77777777" w:rsidR="00491DB9" w:rsidRPr="009A5B59" w:rsidRDefault="00491DB9" w:rsidP="00491DB9">
            <w:pPr>
              <w:tabs>
                <w:tab w:val="left" w:pos="5535"/>
              </w:tabs>
              <w:spacing w:after="0" w:line="240" w:lineRule="auto"/>
              <w:ind w:left="-2" w:firstLineChars="224" w:firstLine="538"/>
              <w:jc w:val="both"/>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 Anaplasique</w:t>
            </w:r>
          </w:p>
        </w:tc>
        <w:tc>
          <w:tcPr>
            <w:tcW w:w="1447" w:type="dxa"/>
          </w:tcPr>
          <w:p w14:paraId="0E60E16B" w14:textId="77777777" w:rsidR="00491DB9" w:rsidRPr="009A5B59" w:rsidRDefault="00491DB9" w:rsidP="00491DB9">
            <w:pPr>
              <w:tabs>
                <w:tab w:val="left" w:pos="5535"/>
              </w:tabs>
              <w:spacing w:after="0" w:line="240" w:lineRule="auto"/>
              <w:ind w:hanging="2"/>
              <w:jc w:val="center"/>
              <w:rPr>
                <w:rFonts w:ascii="Times New Roman" w:eastAsia="Times New Roman" w:hAnsi="Times New Roman" w:cs="Times New Roman"/>
                <w:sz w:val="24"/>
                <w:szCs w:val="24"/>
              </w:rPr>
            </w:pPr>
          </w:p>
          <w:p w14:paraId="35B4796C" w14:textId="77777777" w:rsidR="00491DB9" w:rsidRPr="009A5B59" w:rsidRDefault="00491DB9" w:rsidP="00491DB9">
            <w:pPr>
              <w:tabs>
                <w:tab w:val="left" w:pos="5535"/>
              </w:tabs>
              <w:spacing w:after="0" w:line="240" w:lineRule="auto"/>
              <w:ind w:hanging="2"/>
              <w:jc w:val="center"/>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03</w:t>
            </w:r>
          </w:p>
          <w:p w14:paraId="67A2FCDF" w14:textId="77777777" w:rsidR="00491DB9" w:rsidRPr="009A5B59" w:rsidRDefault="00491DB9" w:rsidP="00491DB9">
            <w:pPr>
              <w:tabs>
                <w:tab w:val="left" w:pos="5535"/>
              </w:tabs>
              <w:spacing w:after="0" w:line="240" w:lineRule="auto"/>
              <w:ind w:hanging="2"/>
              <w:jc w:val="center"/>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02</w:t>
            </w:r>
          </w:p>
        </w:tc>
        <w:tc>
          <w:tcPr>
            <w:tcW w:w="1544" w:type="dxa"/>
          </w:tcPr>
          <w:p w14:paraId="72CBF2A4" w14:textId="77777777" w:rsidR="00491DB9" w:rsidRPr="009A5B59" w:rsidRDefault="00491DB9" w:rsidP="00491DB9">
            <w:pPr>
              <w:tabs>
                <w:tab w:val="left" w:pos="5535"/>
              </w:tabs>
              <w:spacing w:after="0" w:line="240" w:lineRule="auto"/>
              <w:ind w:hanging="2"/>
              <w:jc w:val="center"/>
              <w:rPr>
                <w:rFonts w:ascii="Times New Roman" w:eastAsia="Times New Roman" w:hAnsi="Times New Roman" w:cs="Times New Roman"/>
                <w:sz w:val="24"/>
                <w:szCs w:val="24"/>
              </w:rPr>
            </w:pPr>
          </w:p>
          <w:p w14:paraId="1528728B" w14:textId="77777777" w:rsidR="00491DB9" w:rsidRPr="009A5B59" w:rsidRDefault="00491DB9" w:rsidP="00491DB9">
            <w:pPr>
              <w:tabs>
                <w:tab w:val="left" w:pos="5535"/>
              </w:tabs>
              <w:spacing w:after="0" w:line="240" w:lineRule="auto"/>
              <w:ind w:hanging="2"/>
              <w:jc w:val="center"/>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17,6</w:t>
            </w:r>
          </w:p>
          <w:p w14:paraId="4BBF06CD" w14:textId="77777777" w:rsidR="00491DB9" w:rsidRPr="009A5B59" w:rsidRDefault="00491DB9" w:rsidP="00491DB9">
            <w:pPr>
              <w:tabs>
                <w:tab w:val="left" w:pos="5535"/>
              </w:tabs>
              <w:spacing w:after="0" w:line="240" w:lineRule="auto"/>
              <w:ind w:hanging="2"/>
              <w:jc w:val="center"/>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11,8</w:t>
            </w:r>
          </w:p>
        </w:tc>
      </w:tr>
      <w:tr w:rsidR="009A5B59" w:rsidRPr="009A5B59" w14:paraId="7468C646" w14:textId="77777777" w:rsidTr="009A5B59">
        <w:trPr>
          <w:trHeight w:val="616"/>
        </w:trPr>
        <w:tc>
          <w:tcPr>
            <w:tcW w:w="2607" w:type="dxa"/>
          </w:tcPr>
          <w:p w14:paraId="6DA35BFB" w14:textId="77777777" w:rsidR="00491DB9" w:rsidRPr="009A5B59" w:rsidRDefault="00491DB9" w:rsidP="00491DB9">
            <w:pPr>
              <w:tabs>
                <w:tab w:val="left" w:pos="5535"/>
              </w:tabs>
              <w:spacing w:after="0" w:line="240" w:lineRule="auto"/>
              <w:ind w:hanging="2"/>
              <w:jc w:val="both"/>
              <w:rPr>
                <w:rFonts w:ascii="Times New Roman" w:eastAsia="Times New Roman" w:hAnsi="Times New Roman" w:cs="Times New Roman"/>
                <w:sz w:val="24"/>
                <w:szCs w:val="24"/>
              </w:rPr>
            </w:pPr>
            <w:proofErr w:type="spellStart"/>
            <w:r w:rsidRPr="009A5B59">
              <w:rPr>
                <w:rFonts w:ascii="Times New Roman" w:eastAsia="Times New Roman" w:hAnsi="Times New Roman" w:cs="Times New Roman"/>
                <w:b/>
                <w:sz w:val="24"/>
                <w:szCs w:val="24"/>
              </w:rPr>
              <w:t>Oligoastrocytome</w:t>
            </w:r>
            <w:proofErr w:type="spellEnd"/>
          </w:p>
        </w:tc>
        <w:tc>
          <w:tcPr>
            <w:tcW w:w="1447" w:type="dxa"/>
          </w:tcPr>
          <w:p w14:paraId="2F0C95E9" w14:textId="77777777" w:rsidR="00491DB9" w:rsidRPr="009A5B59" w:rsidRDefault="00491DB9" w:rsidP="00491DB9">
            <w:pPr>
              <w:tabs>
                <w:tab w:val="left" w:pos="5535"/>
              </w:tabs>
              <w:spacing w:after="0" w:line="240" w:lineRule="auto"/>
              <w:ind w:hanging="2"/>
              <w:jc w:val="center"/>
              <w:rPr>
                <w:rFonts w:ascii="Times New Roman" w:eastAsia="Times New Roman" w:hAnsi="Times New Roman" w:cs="Times New Roman"/>
                <w:sz w:val="24"/>
                <w:szCs w:val="24"/>
              </w:rPr>
            </w:pPr>
            <w:r w:rsidRPr="009A5B59">
              <w:rPr>
                <w:rFonts w:ascii="Times New Roman" w:eastAsia="Times New Roman" w:hAnsi="Times New Roman" w:cs="Times New Roman"/>
                <w:b/>
                <w:sz w:val="24"/>
                <w:szCs w:val="24"/>
              </w:rPr>
              <w:t>06</w:t>
            </w:r>
          </w:p>
        </w:tc>
        <w:tc>
          <w:tcPr>
            <w:tcW w:w="1544" w:type="dxa"/>
          </w:tcPr>
          <w:p w14:paraId="10DFCA83" w14:textId="77777777" w:rsidR="00491DB9" w:rsidRPr="009A5B59" w:rsidRDefault="00491DB9" w:rsidP="00491DB9">
            <w:pPr>
              <w:tabs>
                <w:tab w:val="left" w:pos="5535"/>
              </w:tabs>
              <w:spacing w:after="0" w:line="240" w:lineRule="auto"/>
              <w:ind w:hanging="2"/>
              <w:jc w:val="center"/>
              <w:rPr>
                <w:rFonts w:ascii="Times New Roman" w:eastAsia="Times New Roman" w:hAnsi="Times New Roman" w:cs="Times New Roman"/>
                <w:sz w:val="24"/>
                <w:szCs w:val="24"/>
              </w:rPr>
            </w:pPr>
            <w:r w:rsidRPr="009A5B59">
              <w:rPr>
                <w:rFonts w:ascii="Times New Roman" w:eastAsia="Times New Roman" w:hAnsi="Times New Roman" w:cs="Times New Roman"/>
                <w:b/>
                <w:sz w:val="24"/>
                <w:szCs w:val="24"/>
              </w:rPr>
              <w:t>35,3</w:t>
            </w:r>
          </w:p>
        </w:tc>
      </w:tr>
      <w:tr w:rsidR="009A5B59" w:rsidRPr="009A5B59" w14:paraId="7DEDAC3E" w14:textId="77777777" w:rsidTr="009A5B59">
        <w:trPr>
          <w:trHeight w:val="603"/>
        </w:trPr>
        <w:tc>
          <w:tcPr>
            <w:tcW w:w="2607" w:type="dxa"/>
          </w:tcPr>
          <w:p w14:paraId="728B5E97" w14:textId="77777777" w:rsidR="00491DB9" w:rsidRPr="009A5B59" w:rsidRDefault="00491DB9" w:rsidP="00491DB9">
            <w:pPr>
              <w:tabs>
                <w:tab w:val="left" w:pos="5535"/>
              </w:tabs>
              <w:spacing w:after="0" w:line="240" w:lineRule="auto"/>
              <w:ind w:hanging="2"/>
              <w:jc w:val="both"/>
              <w:rPr>
                <w:rFonts w:ascii="Times New Roman" w:eastAsia="Times New Roman" w:hAnsi="Times New Roman" w:cs="Times New Roman"/>
                <w:sz w:val="24"/>
                <w:szCs w:val="24"/>
              </w:rPr>
            </w:pPr>
            <w:proofErr w:type="spellStart"/>
            <w:r w:rsidRPr="009A5B59">
              <w:rPr>
                <w:rFonts w:ascii="Times New Roman" w:eastAsia="Times New Roman" w:hAnsi="Times New Roman" w:cs="Times New Roman"/>
                <w:sz w:val="24"/>
                <w:szCs w:val="24"/>
              </w:rPr>
              <w:t>Oligoastrocytomeanaplasique</w:t>
            </w:r>
            <w:proofErr w:type="spellEnd"/>
          </w:p>
        </w:tc>
        <w:tc>
          <w:tcPr>
            <w:tcW w:w="1447" w:type="dxa"/>
          </w:tcPr>
          <w:p w14:paraId="67B8CE19" w14:textId="77777777" w:rsidR="00491DB9" w:rsidRPr="009A5B59" w:rsidRDefault="00491DB9" w:rsidP="00491DB9">
            <w:pPr>
              <w:tabs>
                <w:tab w:val="left" w:pos="5535"/>
              </w:tabs>
              <w:spacing w:after="0" w:line="240" w:lineRule="auto"/>
              <w:ind w:hanging="2"/>
              <w:jc w:val="center"/>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01</w:t>
            </w:r>
          </w:p>
        </w:tc>
        <w:tc>
          <w:tcPr>
            <w:tcW w:w="1544" w:type="dxa"/>
          </w:tcPr>
          <w:p w14:paraId="37C7900A" w14:textId="77777777" w:rsidR="00491DB9" w:rsidRPr="009A5B59" w:rsidRDefault="00491DB9" w:rsidP="00491DB9">
            <w:pPr>
              <w:tabs>
                <w:tab w:val="left" w:pos="5535"/>
              </w:tabs>
              <w:spacing w:after="0" w:line="240" w:lineRule="auto"/>
              <w:ind w:hanging="2"/>
              <w:jc w:val="center"/>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5,9</w:t>
            </w:r>
          </w:p>
        </w:tc>
      </w:tr>
      <w:tr w:rsidR="009A5B59" w:rsidRPr="009A5B59" w14:paraId="35B0E407" w14:textId="77777777" w:rsidTr="009A5B59">
        <w:trPr>
          <w:trHeight w:val="500"/>
        </w:trPr>
        <w:tc>
          <w:tcPr>
            <w:tcW w:w="2607" w:type="dxa"/>
            <w:tcBorders>
              <w:bottom w:val="single" w:sz="4" w:space="0" w:color="000000"/>
            </w:tcBorders>
          </w:tcPr>
          <w:p w14:paraId="21F5B3D9" w14:textId="77777777" w:rsidR="00491DB9" w:rsidRPr="009A5B59" w:rsidRDefault="00491DB9" w:rsidP="00491DB9">
            <w:pPr>
              <w:tabs>
                <w:tab w:val="left" w:pos="5535"/>
              </w:tabs>
              <w:spacing w:after="0" w:line="240" w:lineRule="auto"/>
              <w:ind w:hanging="2"/>
              <w:jc w:val="both"/>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Glioblastome</w:t>
            </w:r>
          </w:p>
        </w:tc>
        <w:tc>
          <w:tcPr>
            <w:tcW w:w="1447" w:type="dxa"/>
            <w:tcBorders>
              <w:bottom w:val="single" w:sz="4" w:space="0" w:color="000000"/>
            </w:tcBorders>
          </w:tcPr>
          <w:p w14:paraId="6A013FE8" w14:textId="77777777" w:rsidR="00491DB9" w:rsidRPr="009A5B59" w:rsidRDefault="00491DB9" w:rsidP="00491DB9">
            <w:pPr>
              <w:tabs>
                <w:tab w:val="left" w:pos="5535"/>
              </w:tabs>
              <w:spacing w:after="0" w:line="240" w:lineRule="auto"/>
              <w:ind w:hanging="2"/>
              <w:jc w:val="center"/>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02</w:t>
            </w:r>
          </w:p>
        </w:tc>
        <w:tc>
          <w:tcPr>
            <w:tcW w:w="1544" w:type="dxa"/>
            <w:tcBorders>
              <w:bottom w:val="single" w:sz="4" w:space="0" w:color="000000"/>
            </w:tcBorders>
          </w:tcPr>
          <w:p w14:paraId="4CFD8A56" w14:textId="77777777" w:rsidR="00491DB9" w:rsidRPr="009A5B59" w:rsidRDefault="00491DB9" w:rsidP="00491DB9">
            <w:pPr>
              <w:tabs>
                <w:tab w:val="left" w:pos="5535"/>
              </w:tabs>
              <w:spacing w:after="0" w:line="240" w:lineRule="auto"/>
              <w:ind w:hanging="2"/>
              <w:jc w:val="center"/>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11,8</w:t>
            </w:r>
          </w:p>
        </w:tc>
      </w:tr>
    </w:tbl>
    <w:p w14:paraId="5E28B1C4" w14:textId="77777777" w:rsidR="002D7B20" w:rsidRPr="009A5B59" w:rsidRDefault="002D7B20" w:rsidP="00491DB9">
      <w:pPr>
        <w:tabs>
          <w:tab w:val="left" w:pos="5535"/>
        </w:tabs>
        <w:spacing w:before="240" w:line="240" w:lineRule="auto"/>
        <w:ind w:hanging="2"/>
        <w:jc w:val="both"/>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 xml:space="preserve">Dans 12 cas, soit 70,6%, la tumeur a été diagnostiquée au stade II (tableau II). </w:t>
      </w:r>
    </w:p>
    <w:p w14:paraId="5A388225" w14:textId="77777777" w:rsidR="00491DB9" w:rsidRPr="009A5B59" w:rsidRDefault="00491DB9" w:rsidP="00491DB9">
      <w:pPr>
        <w:tabs>
          <w:tab w:val="left" w:pos="5535"/>
        </w:tabs>
        <w:spacing w:line="240" w:lineRule="auto"/>
        <w:ind w:hanging="2"/>
        <w:jc w:val="both"/>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 xml:space="preserve">Tableau III. Répartition des patients selon le grade </w:t>
      </w:r>
      <w:proofErr w:type="spellStart"/>
      <w:r w:rsidRPr="009A5B59">
        <w:rPr>
          <w:rFonts w:ascii="Times New Roman" w:eastAsia="Times New Roman" w:hAnsi="Times New Roman" w:cs="Times New Roman"/>
          <w:sz w:val="24"/>
          <w:szCs w:val="24"/>
        </w:rPr>
        <w:t>histo</w:t>
      </w:r>
      <w:proofErr w:type="spellEnd"/>
      <w:r w:rsidRPr="009A5B59">
        <w:rPr>
          <w:rFonts w:ascii="Times New Roman" w:eastAsia="Times New Roman" w:hAnsi="Times New Roman" w:cs="Times New Roman"/>
          <w:sz w:val="24"/>
          <w:szCs w:val="24"/>
        </w:rPr>
        <w:t>-pronostique</w:t>
      </w:r>
    </w:p>
    <w:tbl>
      <w:tblPr>
        <w:tblW w:w="5269" w:type="dxa"/>
        <w:tblLayout w:type="fixed"/>
        <w:tblLook w:val="0000" w:firstRow="0" w:lastRow="0" w:firstColumn="0" w:lastColumn="0" w:noHBand="0" w:noVBand="0"/>
      </w:tblPr>
      <w:tblGrid>
        <w:gridCol w:w="969"/>
        <w:gridCol w:w="2150"/>
        <w:gridCol w:w="2150"/>
      </w:tblGrid>
      <w:tr w:rsidR="009A5B59" w:rsidRPr="009A5B59" w14:paraId="4FC10770" w14:textId="77777777" w:rsidTr="009A5B59">
        <w:trPr>
          <w:trHeight w:val="860"/>
        </w:trPr>
        <w:tc>
          <w:tcPr>
            <w:tcW w:w="969" w:type="dxa"/>
            <w:tcBorders>
              <w:top w:val="single" w:sz="4" w:space="0" w:color="000000"/>
              <w:bottom w:val="single" w:sz="4" w:space="0" w:color="000000"/>
            </w:tcBorders>
          </w:tcPr>
          <w:p w14:paraId="44E5AC65" w14:textId="77777777" w:rsidR="00491DB9" w:rsidRPr="009A5B59" w:rsidRDefault="00491DB9" w:rsidP="00491DB9">
            <w:pPr>
              <w:tabs>
                <w:tab w:val="left" w:pos="5535"/>
              </w:tabs>
              <w:spacing w:after="0" w:line="240" w:lineRule="auto"/>
              <w:ind w:hanging="2"/>
              <w:jc w:val="both"/>
              <w:rPr>
                <w:rFonts w:ascii="Times New Roman" w:eastAsia="Times New Roman" w:hAnsi="Times New Roman" w:cs="Times New Roman"/>
                <w:b/>
                <w:sz w:val="24"/>
                <w:szCs w:val="24"/>
              </w:rPr>
            </w:pPr>
            <w:r w:rsidRPr="009A5B59">
              <w:rPr>
                <w:rFonts w:ascii="Times New Roman" w:eastAsia="Times New Roman" w:hAnsi="Times New Roman" w:cs="Times New Roman"/>
                <w:b/>
                <w:sz w:val="24"/>
                <w:szCs w:val="24"/>
              </w:rPr>
              <w:t>Grade</w:t>
            </w:r>
          </w:p>
        </w:tc>
        <w:tc>
          <w:tcPr>
            <w:tcW w:w="2150" w:type="dxa"/>
            <w:tcBorders>
              <w:top w:val="single" w:sz="4" w:space="0" w:color="000000"/>
              <w:bottom w:val="single" w:sz="4" w:space="0" w:color="000000"/>
            </w:tcBorders>
          </w:tcPr>
          <w:p w14:paraId="3A136832" w14:textId="77777777" w:rsidR="00491DB9" w:rsidRPr="009A5B59" w:rsidRDefault="00491DB9" w:rsidP="00491DB9">
            <w:pPr>
              <w:tabs>
                <w:tab w:val="left" w:pos="5535"/>
              </w:tabs>
              <w:spacing w:after="0" w:line="240" w:lineRule="auto"/>
              <w:ind w:hanging="2"/>
              <w:jc w:val="center"/>
              <w:rPr>
                <w:rFonts w:ascii="Times New Roman" w:eastAsia="Times New Roman" w:hAnsi="Times New Roman" w:cs="Times New Roman"/>
                <w:b/>
                <w:sz w:val="24"/>
                <w:szCs w:val="24"/>
              </w:rPr>
            </w:pPr>
            <w:r w:rsidRPr="009A5B59">
              <w:rPr>
                <w:rFonts w:ascii="Times New Roman" w:eastAsia="Times New Roman" w:hAnsi="Times New Roman" w:cs="Times New Roman"/>
                <w:b/>
                <w:sz w:val="24"/>
                <w:szCs w:val="24"/>
              </w:rPr>
              <w:t>Effectif</w:t>
            </w:r>
          </w:p>
          <w:p w14:paraId="15912746" w14:textId="77777777" w:rsidR="00491DB9" w:rsidRPr="009A5B59" w:rsidRDefault="00491DB9" w:rsidP="00491DB9">
            <w:pPr>
              <w:tabs>
                <w:tab w:val="left" w:pos="5535"/>
              </w:tabs>
              <w:spacing w:after="0" w:line="240" w:lineRule="auto"/>
              <w:ind w:hanging="2"/>
              <w:jc w:val="center"/>
              <w:rPr>
                <w:rFonts w:ascii="Times New Roman" w:eastAsia="Times New Roman" w:hAnsi="Times New Roman" w:cs="Times New Roman"/>
                <w:b/>
                <w:sz w:val="24"/>
                <w:szCs w:val="24"/>
              </w:rPr>
            </w:pPr>
            <w:r w:rsidRPr="009A5B59">
              <w:rPr>
                <w:rFonts w:ascii="Times New Roman" w:eastAsia="Times New Roman" w:hAnsi="Times New Roman" w:cs="Times New Roman"/>
                <w:b/>
                <w:sz w:val="24"/>
                <w:szCs w:val="24"/>
              </w:rPr>
              <w:t>(</w:t>
            </w:r>
            <w:proofErr w:type="gramStart"/>
            <w:r w:rsidRPr="009A5B59">
              <w:rPr>
                <w:rFonts w:ascii="Times New Roman" w:eastAsia="Times New Roman" w:hAnsi="Times New Roman" w:cs="Times New Roman"/>
                <w:b/>
                <w:sz w:val="24"/>
                <w:szCs w:val="24"/>
              </w:rPr>
              <w:t>n</w:t>
            </w:r>
            <w:proofErr w:type="gramEnd"/>
            <w:r w:rsidRPr="009A5B59">
              <w:rPr>
                <w:rFonts w:ascii="Times New Roman" w:eastAsia="Times New Roman" w:hAnsi="Times New Roman" w:cs="Times New Roman"/>
                <w:b/>
                <w:sz w:val="24"/>
                <w:szCs w:val="24"/>
              </w:rPr>
              <w:t>=17)</w:t>
            </w:r>
          </w:p>
        </w:tc>
        <w:tc>
          <w:tcPr>
            <w:tcW w:w="2150" w:type="dxa"/>
            <w:tcBorders>
              <w:top w:val="single" w:sz="4" w:space="0" w:color="000000"/>
              <w:bottom w:val="single" w:sz="4" w:space="0" w:color="000000"/>
            </w:tcBorders>
          </w:tcPr>
          <w:p w14:paraId="7C9C6B7D" w14:textId="77777777" w:rsidR="00491DB9" w:rsidRPr="009A5B59" w:rsidRDefault="00491DB9" w:rsidP="00491DB9">
            <w:pPr>
              <w:tabs>
                <w:tab w:val="left" w:pos="5535"/>
              </w:tabs>
              <w:spacing w:after="0" w:line="240" w:lineRule="auto"/>
              <w:ind w:hanging="2"/>
              <w:jc w:val="center"/>
              <w:rPr>
                <w:rFonts w:ascii="Times New Roman" w:eastAsia="Times New Roman" w:hAnsi="Times New Roman" w:cs="Times New Roman"/>
                <w:b/>
                <w:sz w:val="24"/>
                <w:szCs w:val="24"/>
              </w:rPr>
            </w:pPr>
            <w:r w:rsidRPr="009A5B59">
              <w:rPr>
                <w:rFonts w:ascii="Times New Roman" w:eastAsia="Times New Roman" w:hAnsi="Times New Roman" w:cs="Times New Roman"/>
                <w:b/>
                <w:sz w:val="24"/>
                <w:szCs w:val="24"/>
              </w:rPr>
              <w:t>Pourcentage</w:t>
            </w:r>
          </w:p>
          <w:p w14:paraId="17D48A0E" w14:textId="77777777" w:rsidR="00491DB9" w:rsidRPr="009A5B59" w:rsidRDefault="00491DB9" w:rsidP="00491DB9">
            <w:pPr>
              <w:tabs>
                <w:tab w:val="left" w:pos="5535"/>
              </w:tabs>
              <w:spacing w:after="0" w:line="240" w:lineRule="auto"/>
              <w:ind w:hanging="2"/>
              <w:jc w:val="center"/>
              <w:rPr>
                <w:rFonts w:ascii="Times New Roman" w:eastAsia="Times New Roman" w:hAnsi="Times New Roman" w:cs="Times New Roman"/>
                <w:b/>
                <w:sz w:val="24"/>
                <w:szCs w:val="24"/>
              </w:rPr>
            </w:pPr>
            <w:r w:rsidRPr="009A5B59">
              <w:rPr>
                <w:rFonts w:ascii="Times New Roman" w:eastAsia="Times New Roman" w:hAnsi="Times New Roman" w:cs="Times New Roman"/>
                <w:b/>
                <w:sz w:val="24"/>
                <w:szCs w:val="24"/>
              </w:rPr>
              <w:t>(%)</w:t>
            </w:r>
          </w:p>
        </w:tc>
      </w:tr>
      <w:tr w:rsidR="009A5B59" w:rsidRPr="009A5B59" w14:paraId="0F6A50C5" w14:textId="77777777" w:rsidTr="009A5B59">
        <w:trPr>
          <w:trHeight w:val="423"/>
        </w:trPr>
        <w:tc>
          <w:tcPr>
            <w:tcW w:w="969" w:type="dxa"/>
            <w:tcBorders>
              <w:top w:val="single" w:sz="4" w:space="0" w:color="000000"/>
            </w:tcBorders>
          </w:tcPr>
          <w:p w14:paraId="3B47310C" w14:textId="77777777" w:rsidR="00491DB9" w:rsidRPr="009A5B59" w:rsidRDefault="00491DB9" w:rsidP="00491DB9">
            <w:pPr>
              <w:tabs>
                <w:tab w:val="left" w:pos="5535"/>
              </w:tabs>
              <w:spacing w:after="0" w:line="240" w:lineRule="auto"/>
              <w:ind w:hanging="2"/>
              <w:jc w:val="both"/>
              <w:rPr>
                <w:rFonts w:ascii="Times New Roman" w:eastAsia="Times New Roman" w:hAnsi="Times New Roman" w:cs="Times New Roman"/>
                <w:sz w:val="24"/>
                <w:szCs w:val="24"/>
              </w:rPr>
            </w:pPr>
            <w:r w:rsidRPr="009A5B59">
              <w:rPr>
                <w:rFonts w:ascii="Times New Roman" w:eastAsia="Times New Roman" w:hAnsi="Times New Roman" w:cs="Times New Roman"/>
                <w:b/>
                <w:sz w:val="24"/>
                <w:szCs w:val="24"/>
              </w:rPr>
              <w:t>II</w:t>
            </w:r>
          </w:p>
        </w:tc>
        <w:tc>
          <w:tcPr>
            <w:tcW w:w="2150" w:type="dxa"/>
            <w:tcBorders>
              <w:top w:val="single" w:sz="4" w:space="0" w:color="000000"/>
            </w:tcBorders>
          </w:tcPr>
          <w:p w14:paraId="35317FA3" w14:textId="77777777" w:rsidR="00491DB9" w:rsidRPr="009A5B59" w:rsidRDefault="00491DB9" w:rsidP="00491DB9">
            <w:pPr>
              <w:tabs>
                <w:tab w:val="left" w:pos="5535"/>
              </w:tabs>
              <w:spacing w:after="0" w:line="240" w:lineRule="auto"/>
              <w:ind w:hanging="2"/>
              <w:jc w:val="center"/>
              <w:rPr>
                <w:rFonts w:ascii="Times New Roman" w:eastAsia="Times New Roman" w:hAnsi="Times New Roman" w:cs="Times New Roman"/>
                <w:sz w:val="24"/>
                <w:szCs w:val="24"/>
              </w:rPr>
            </w:pPr>
            <w:r w:rsidRPr="009A5B59">
              <w:rPr>
                <w:rFonts w:ascii="Times New Roman" w:eastAsia="Times New Roman" w:hAnsi="Times New Roman" w:cs="Times New Roman"/>
                <w:b/>
                <w:sz w:val="24"/>
                <w:szCs w:val="24"/>
              </w:rPr>
              <w:t>12</w:t>
            </w:r>
          </w:p>
        </w:tc>
        <w:tc>
          <w:tcPr>
            <w:tcW w:w="2150" w:type="dxa"/>
            <w:tcBorders>
              <w:top w:val="single" w:sz="4" w:space="0" w:color="000000"/>
            </w:tcBorders>
          </w:tcPr>
          <w:p w14:paraId="46FA67BB" w14:textId="77777777" w:rsidR="00491DB9" w:rsidRPr="009A5B59" w:rsidRDefault="00491DB9" w:rsidP="00491DB9">
            <w:pPr>
              <w:tabs>
                <w:tab w:val="left" w:pos="5535"/>
              </w:tabs>
              <w:spacing w:after="0" w:line="240" w:lineRule="auto"/>
              <w:ind w:hanging="2"/>
              <w:jc w:val="center"/>
              <w:rPr>
                <w:rFonts w:ascii="Times New Roman" w:eastAsia="Times New Roman" w:hAnsi="Times New Roman" w:cs="Times New Roman"/>
                <w:sz w:val="24"/>
                <w:szCs w:val="24"/>
              </w:rPr>
            </w:pPr>
            <w:r w:rsidRPr="009A5B59">
              <w:rPr>
                <w:rFonts w:ascii="Times New Roman" w:eastAsia="Times New Roman" w:hAnsi="Times New Roman" w:cs="Times New Roman"/>
                <w:b/>
                <w:sz w:val="24"/>
                <w:szCs w:val="24"/>
              </w:rPr>
              <w:t>70,6</w:t>
            </w:r>
          </w:p>
        </w:tc>
      </w:tr>
      <w:tr w:rsidR="009A5B59" w:rsidRPr="009A5B59" w14:paraId="583731BC" w14:textId="77777777" w:rsidTr="009A5B59">
        <w:trPr>
          <w:trHeight w:val="489"/>
        </w:trPr>
        <w:tc>
          <w:tcPr>
            <w:tcW w:w="969" w:type="dxa"/>
          </w:tcPr>
          <w:p w14:paraId="7CA95541" w14:textId="77777777" w:rsidR="00491DB9" w:rsidRPr="009A5B59" w:rsidRDefault="00491DB9" w:rsidP="00491DB9">
            <w:pPr>
              <w:tabs>
                <w:tab w:val="left" w:pos="5535"/>
              </w:tabs>
              <w:spacing w:after="0" w:line="240" w:lineRule="auto"/>
              <w:ind w:hanging="2"/>
              <w:jc w:val="both"/>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III</w:t>
            </w:r>
          </w:p>
        </w:tc>
        <w:tc>
          <w:tcPr>
            <w:tcW w:w="2150" w:type="dxa"/>
          </w:tcPr>
          <w:p w14:paraId="07388797" w14:textId="77777777" w:rsidR="00491DB9" w:rsidRPr="009A5B59" w:rsidRDefault="00491DB9" w:rsidP="00491DB9">
            <w:pPr>
              <w:tabs>
                <w:tab w:val="left" w:pos="5535"/>
              </w:tabs>
              <w:spacing w:after="0" w:line="240" w:lineRule="auto"/>
              <w:ind w:hanging="2"/>
              <w:jc w:val="center"/>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03</w:t>
            </w:r>
          </w:p>
        </w:tc>
        <w:tc>
          <w:tcPr>
            <w:tcW w:w="2150" w:type="dxa"/>
          </w:tcPr>
          <w:p w14:paraId="1EB671C4" w14:textId="77777777" w:rsidR="00491DB9" w:rsidRPr="009A5B59" w:rsidRDefault="00491DB9" w:rsidP="00491DB9">
            <w:pPr>
              <w:tabs>
                <w:tab w:val="left" w:pos="5535"/>
              </w:tabs>
              <w:spacing w:after="0" w:line="240" w:lineRule="auto"/>
              <w:ind w:hanging="2"/>
              <w:jc w:val="center"/>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17,6</w:t>
            </w:r>
          </w:p>
        </w:tc>
      </w:tr>
      <w:tr w:rsidR="009A5B59" w:rsidRPr="009A5B59" w14:paraId="2D3EEDAF" w14:textId="77777777" w:rsidTr="009A5B59">
        <w:trPr>
          <w:trHeight w:val="445"/>
        </w:trPr>
        <w:tc>
          <w:tcPr>
            <w:tcW w:w="969" w:type="dxa"/>
            <w:tcBorders>
              <w:bottom w:val="single" w:sz="4" w:space="0" w:color="000000"/>
            </w:tcBorders>
          </w:tcPr>
          <w:p w14:paraId="587BE8B7" w14:textId="77777777" w:rsidR="00491DB9" w:rsidRPr="009A5B59" w:rsidRDefault="00491DB9" w:rsidP="00491DB9">
            <w:pPr>
              <w:tabs>
                <w:tab w:val="left" w:pos="5535"/>
              </w:tabs>
              <w:spacing w:after="0" w:line="240" w:lineRule="auto"/>
              <w:ind w:hanging="2"/>
              <w:jc w:val="both"/>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IV</w:t>
            </w:r>
          </w:p>
        </w:tc>
        <w:tc>
          <w:tcPr>
            <w:tcW w:w="2150" w:type="dxa"/>
            <w:tcBorders>
              <w:bottom w:val="single" w:sz="4" w:space="0" w:color="000000"/>
            </w:tcBorders>
          </w:tcPr>
          <w:p w14:paraId="249B9225" w14:textId="77777777" w:rsidR="00491DB9" w:rsidRPr="009A5B59" w:rsidRDefault="00491DB9" w:rsidP="00491DB9">
            <w:pPr>
              <w:tabs>
                <w:tab w:val="left" w:pos="5535"/>
              </w:tabs>
              <w:spacing w:after="0" w:line="240" w:lineRule="auto"/>
              <w:ind w:hanging="2"/>
              <w:jc w:val="center"/>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02</w:t>
            </w:r>
          </w:p>
        </w:tc>
        <w:tc>
          <w:tcPr>
            <w:tcW w:w="2150" w:type="dxa"/>
            <w:tcBorders>
              <w:bottom w:val="single" w:sz="4" w:space="0" w:color="000000"/>
            </w:tcBorders>
          </w:tcPr>
          <w:p w14:paraId="7F424ADD" w14:textId="77777777" w:rsidR="00491DB9" w:rsidRPr="009A5B59" w:rsidRDefault="00491DB9" w:rsidP="00491DB9">
            <w:pPr>
              <w:tabs>
                <w:tab w:val="left" w:pos="5535"/>
              </w:tabs>
              <w:spacing w:after="0" w:line="240" w:lineRule="auto"/>
              <w:ind w:hanging="2"/>
              <w:jc w:val="center"/>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11,8</w:t>
            </w:r>
          </w:p>
        </w:tc>
      </w:tr>
    </w:tbl>
    <w:p w14:paraId="62310D8B" w14:textId="77777777" w:rsidR="00491DB9" w:rsidRPr="009A5B59" w:rsidRDefault="00491DB9" w:rsidP="002D7B20">
      <w:pPr>
        <w:tabs>
          <w:tab w:val="left" w:pos="5535"/>
        </w:tabs>
        <w:spacing w:line="240" w:lineRule="auto"/>
        <w:ind w:hanging="2"/>
        <w:jc w:val="both"/>
        <w:rPr>
          <w:rFonts w:ascii="Times New Roman" w:eastAsia="Times New Roman" w:hAnsi="Times New Roman" w:cs="Times New Roman"/>
          <w:sz w:val="24"/>
          <w:szCs w:val="24"/>
        </w:rPr>
      </w:pPr>
    </w:p>
    <w:p w14:paraId="0EE16577" w14:textId="77777777" w:rsidR="003F2BF8" w:rsidRPr="009A5B59" w:rsidRDefault="003F2BF8" w:rsidP="007108E8">
      <w:pPr>
        <w:spacing w:line="240" w:lineRule="auto"/>
        <w:jc w:val="both"/>
        <w:rPr>
          <w:rFonts w:ascii="Times New Roman" w:hAnsi="Times New Roman" w:cs="Times New Roman"/>
          <w:sz w:val="24"/>
        </w:rPr>
      </w:pPr>
    </w:p>
    <w:p w14:paraId="77FE4325" w14:textId="77777777" w:rsidR="00223971" w:rsidRPr="009A5B59" w:rsidRDefault="00223971" w:rsidP="007108E8">
      <w:pPr>
        <w:spacing w:line="240" w:lineRule="auto"/>
        <w:jc w:val="both"/>
        <w:rPr>
          <w:rFonts w:ascii="Times New Roman" w:hAnsi="Times New Roman" w:cs="Times New Roman"/>
          <w:sz w:val="24"/>
        </w:rPr>
      </w:pPr>
    </w:p>
    <w:p w14:paraId="7062D621" w14:textId="77777777" w:rsidR="003F2BF8" w:rsidRDefault="003F2BF8" w:rsidP="007108E8">
      <w:pPr>
        <w:spacing w:line="240" w:lineRule="auto"/>
        <w:jc w:val="both"/>
        <w:rPr>
          <w:rFonts w:ascii="Times New Roman" w:hAnsi="Times New Roman" w:cs="Times New Roman"/>
          <w:b/>
          <w:color w:val="0000FF"/>
          <w:sz w:val="24"/>
        </w:rPr>
      </w:pPr>
    </w:p>
    <w:p w14:paraId="1ABD9B37" w14:textId="77777777" w:rsidR="00491DB9" w:rsidRDefault="00491DB9" w:rsidP="007108E8">
      <w:pPr>
        <w:spacing w:line="240" w:lineRule="auto"/>
        <w:jc w:val="both"/>
        <w:rPr>
          <w:rFonts w:ascii="Times New Roman" w:hAnsi="Times New Roman" w:cs="Times New Roman"/>
          <w:b/>
          <w:color w:val="0000FF"/>
          <w:sz w:val="24"/>
        </w:rPr>
        <w:sectPr w:rsidR="00491DB9" w:rsidSect="003F2BF8">
          <w:type w:val="continuous"/>
          <w:pgSz w:w="11906" w:h="16838"/>
          <w:pgMar w:top="1417" w:right="1417" w:bottom="1417" w:left="1417" w:header="708" w:footer="708" w:gutter="0"/>
          <w:cols w:num="2" w:space="708"/>
          <w:docGrid w:linePitch="360"/>
        </w:sectPr>
      </w:pPr>
    </w:p>
    <w:p w14:paraId="76F83DC1" w14:textId="77777777" w:rsidR="00685DE2" w:rsidRPr="007108E8" w:rsidRDefault="00000000" w:rsidP="007108E8">
      <w:pPr>
        <w:spacing w:line="240" w:lineRule="auto"/>
        <w:jc w:val="both"/>
        <w:rPr>
          <w:rFonts w:ascii="Times New Roman" w:hAnsi="Times New Roman" w:cs="Times New Roman"/>
          <w:b/>
          <w:color w:val="0000FF"/>
          <w:sz w:val="24"/>
        </w:rPr>
      </w:pPr>
      <w:r>
        <w:rPr>
          <w:rFonts w:ascii="Times New Roman" w:hAnsi="Times New Roman" w:cs="Times New Roman"/>
          <w:b/>
          <w:noProof/>
          <w:color w:val="0000FF"/>
          <w:sz w:val="24"/>
        </w:rPr>
        <w:pict w14:anchorId="75014785">
          <v:shape id="AutoShape 15" o:spid="_x0000_s1029" type="#_x0000_t32" style="position:absolute;left:0;text-align:left;margin-left:58.15pt;margin-top:9.15pt;width:398.4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" strokecolor="blue" strokeweight="1.5pt"/>
        </w:pict>
      </w:r>
      <w:r w:rsidR="00FA7286" w:rsidRPr="007108E8">
        <w:rPr>
          <w:rFonts w:ascii="Times New Roman" w:hAnsi="Times New Roman" w:cs="Times New Roman"/>
          <w:b/>
          <w:color w:val="0000FF"/>
          <w:sz w:val="24"/>
        </w:rPr>
        <w:t>Discussion</w:t>
      </w:r>
    </w:p>
    <w:p w14:paraId="2C661ED5" w14:textId="77777777" w:rsidR="003F2BF8" w:rsidRDefault="003F2BF8" w:rsidP="007108E8">
      <w:pPr>
        <w:spacing w:line="240" w:lineRule="auto"/>
        <w:jc w:val="both"/>
        <w:rPr>
          <w:rFonts w:ascii="Times New Roman" w:hAnsi="Times New Roman" w:cs="Times New Roman"/>
          <w:sz w:val="24"/>
        </w:rPr>
        <w:sectPr w:rsidR="003F2BF8" w:rsidSect="003F2BF8">
          <w:type w:val="continuous"/>
          <w:pgSz w:w="11906" w:h="16838"/>
          <w:pgMar w:top="1417" w:right="1417" w:bottom="1417" w:left="1417" w:header="708" w:footer="708" w:gutter="0"/>
          <w:cols w:space="708"/>
          <w:docGrid w:linePitch="360"/>
        </w:sectPr>
      </w:pPr>
    </w:p>
    <w:p w14:paraId="64B9A5D2" w14:textId="77777777" w:rsidR="00491DB9" w:rsidRPr="009B3984" w:rsidRDefault="00491DB9" w:rsidP="00491DB9">
      <w:pPr>
        <w:spacing w:line="240" w:lineRule="auto"/>
        <w:ind w:hanging="2"/>
        <w:jc w:val="both"/>
        <w:rPr>
          <w:rFonts w:ascii="Times New Roman" w:eastAsia="Times New Roman" w:hAnsi="Times New Roman" w:cs="Times New Roman"/>
          <w:sz w:val="24"/>
          <w:szCs w:val="24"/>
        </w:rPr>
      </w:pPr>
      <w:r w:rsidRPr="009B3984">
        <w:rPr>
          <w:rFonts w:ascii="Times New Roman" w:eastAsia="Times New Roman" w:hAnsi="Times New Roman" w:cs="Times New Roman"/>
          <w:sz w:val="24"/>
          <w:szCs w:val="24"/>
        </w:rPr>
        <w:t xml:space="preserve">Les tumeurs gliales représentent les tumeurs cérébrales primitives les plus fréquentes et regroupent les tumeurs qui ont pour origine les cellules gliales. Ils sont typés selon la cellule d’origine en astrocytome ou </w:t>
      </w:r>
      <w:proofErr w:type="spellStart"/>
      <w:r w:rsidRPr="009B3984">
        <w:rPr>
          <w:rFonts w:ascii="Times New Roman" w:eastAsia="Times New Roman" w:hAnsi="Times New Roman" w:cs="Times New Roman"/>
          <w:sz w:val="24"/>
          <w:szCs w:val="24"/>
        </w:rPr>
        <w:t>oligodendrogliome</w:t>
      </w:r>
      <w:proofErr w:type="spellEnd"/>
      <w:r w:rsidRPr="009B3984">
        <w:rPr>
          <w:rFonts w:ascii="Times New Roman" w:eastAsia="Times New Roman" w:hAnsi="Times New Roman" w:cs="Times New Roman"/>
          <w:sz w:val="24"/>
          <w:szCs w:val="24"/>
        </w:rPr>
        <w:t xml:space="preserve"> selon </w:t>
      </w:r>
      <w:r w:rsidRPr="009B3984">
        <w:rPr>
          <w:rFonts w:ascii="Times New Roman" w:eastAsia="Times New Roman" w:hAnsi="Times New Roman" w:cs="Times New Roman"/>
          <w:sz w:val="24"/>
          <w:szCs w:val="24"/>
        </w:rPr>
        <w:t>des critères diagnostiques, essentiellement morphologiques, qui sont définis dans la classification de l’OMS en 2007 (3).</w:t>
      </w:r>
    </w:p>
    <w:p w14:paraId="411B5E54" w14:textId="77777777" w:rsidR="00491DB9" w:rsidRPr="009B3984" w:rsidRDefault="00491DB9" w:rsidP="00491DB9">
      <w:pPr>
        <w:spacing w:line="240" w:lineRule="auto"/>
        <w:ind w:hanging="2"/>
        <w:jc w:val="both"/>
        <w:rPr>
          <w:rFonts w:ascii="Times New Roman" w:eastAsia="Times New Roman" w:hAnsi="Times New Roman" w:cs="Times New Roman"/>
          <w:sz w:val="24"/>
          <w:szCs w:val="24"/>
          <w:highlight w:val="white"/>
        </w:rPr>
      </w:pPr>
      <w:r w:rsidRPr="009A5B59">
        <w:rPr>
          <w:rFonts w:ascii="Times New Roman" w:eastAsia="Times New Roman" w:hAnsi="Times New Roman" w:cs="Times New Roman"/>
          <w:sz w:val="24"/>
          <w:szCs w:val="24"/>
        </w:rPr>
        <w:t xml:space="preserve">Le </w:t>
      </w:r>
      <w:proofErr w:type="spellStart"/>
      <w:r w:rsidRPr="009A5B59">
        <w:rPr>
          <w:rFonts w:ascii="Times New Roman" w:eastAsia="Times New Roman" w:hAnsi="Times New Roman" w:cs="Times New Roman"/>
          <w:i/>
          <w:iCs/>
          <w:sz w:val="24"/>
          <w:szCs w:val="24"/>
        </w:rPr>
        <w:t>grading</w:t>
      </w:r>
      <w:proofErr w:type="spellEnd"/>
      <w:r w:rsidRPr="009A5B59">
        <w:rPr>
          <w:rFonts w:ascii="Times New Roman" w:eastAsia="Times New Roman" w:hAnsi="Times New Roman" w:cs="Times New Roman"/>
          <w:sz w:val="24"/>
          <w:szCs w:val="24"/>
        </w:rPr>
        <w:t xml:space="preserve"> des tumeurs</w:t>
      </w:r>
      <w:r w:rsidRPr="009B3984">
        <w:rPr>
          <w:rFonts w:ascii="Times New Roman" w:eastAsia="Times New Roman" w:hAnsi="Times New Roman" w:cs="Times New Roman"/>
          <w:sz w:val="24"/>
          <w:szCs w:val="24"/>
        </w:rPr>
        <w:t xml:space="preserve"> gliales est basé sur l'analyse de la différenciation tumorale, de la cellularité, des atypies </w:t>
      </w:r>
      <w:proofErr w:type="spellStart"/>
      <w:r w:rsidRPr="009B3984">
        <w:rPr>
          <w:rFonts w:ascii="Times New Roman" w:eastAsia="Times New Roman" w:hAnsi="Times New Roman" w:cs="Times New Roman"/>
          <w:sz w:val="24"/>
          <w:szCs w:val="24"/>
        </w:rPr>
        <w:t>cyto</w:t>
      </w:r>
      <w:proofErr w:type="spellEnd"/>
      <w:r w:rsidRPr="009B3984">
        <w:rPr>
          <w:rFonts w:ascii="Times New Roman" w:eastAsia="Times New Roman" w:hAnsi="Times New Roman" w:cs="Times New Roman"/>
          <w:sz w:val="24"/>
          <w:szCs w:val="24"/>
        </w:rPr>
        <w:t xml:space="preserve">-nucléaires, </w:t>
      </w:r>
      <w:r w:rsidRPr="009B3984">
        <w:rPr>
          <w:rFonts w:ascii="Times New Roman" w:eastAsia="Times New Roman" w:hAnsi="Times New Roman" w:cs="Times New Roman"/>
          <w:sz w:val="24"/>
          <w:szCs w:val="24"/>
        </w:rPr>
        <w:lastRenderedPageBreak/>
        <w:t xml:space="preserve">de l'activité mitotique, de la prolifération </w:t>
      </w:r>
      <w:proofErr w:type="spellStart"/>
      <w:r w:rsidRPr="009B3984">
        <w:rPr>
          <w:rFonts w:ascii="Times New Roman" w:eastAsia="Times New Roman" w:hAnsi="Times New Roman" w:cs="Times New Roman"/>
          <w:sz w:val="24"/>
          <w:szCs w:val="24"/>
        </w:rPr>
        <w:t>endothélio</w:t>
      </w:r>
      <w:proofErr w:type="spellEnd"/>
      <w:r w:rsidRPr="009B3984">
        <w:rPr>
          <w:rFonts w:ascii="Times New Roman" w:eastAsia="Times New Roman" w:hAnsi="Times New Roman" w:cs="Times New Roman"/>
          <w:sz w:val="24"/>
          <w:szCs w:val="24"/>
        </w:rPr>
        <w:t>-capillaire et de la nécrose permettant de classer la tumeur en grade II (gliomes infiltrants de bas grade), III (gliomes anaplasiques) ou IV (glioblastomes) (1).</w:t>
      </w:r>
    </w:p>
    <w:p w14:paraId="51FE8BB7" w14:textId="77777777" w:rsidR="00491DB9" w:rsidRPr="009B3984" w:rsidRDefault="00491DB9" w:rsidP="00491DB9">
      <w:pPr>
        <w:spacing w:line="240" w:lineRule="auto"/>
        <w:ind w:hanging="2"/>
        <w:jc w:val="both"/>
        <w:rPr>
          <w:rFonts w:ascii="Times New Roman" w:eastAsia="Times New Roman" w:hAnsi="Times New Roman" w:cs="Times New Roman"/>
          <w:sz w:val="24"/>
          <w:szCs w:val="24"/>
        </w:rPr>
      </w:pPr>
      <w:r w:rsidRPr="009B3984">
        <w:rPr>
          <w:rFonts w:ascii="Times New Roman" w:eastAsia="Times New Roman" w:hAnsi="Times New Roman" w:cs="Times New Roman"/>
          <w:sz w:val="24"/>
          <w:szCs w:val="24"/>
        </w:rPr>
        <w:t xml:space="preserve">Il existe des facteurs de risque de développer ces tumeurs. L’exposition à des champs </w:t>
      </w:r>
      <w:proofErr w:type="spellStart"/>
      <w:r w:rsidRPr="009B3984">
        <w:rPr>
          <w:rFonts w:ascii="Times New Roman" w:eastAsia="Times New Roman" w:hAnsi="Times New Roman" w:cs="Times New Roman"/>
          <w:sz w:val="24"/>
          <w:szCs w:val="24"/>
        </w:rPr>
        <w:t>éléctromagnétiques</w:t>
      </w:r>
      <w:proofErr w:type="spellEnd"/>
      <w:r w:rsidRPr="009B3984">
        <w:rPr>
          <w:rFonts w:ascii="Times New Roman" w:eastAsia="Times New Roman" w:hAnsi="Times New Roman" w:cs="Times New Roman"/>
          <w:sz w:val="24"/>
          <w:szCs w:val="24"/>
        </w:rPr>
        <w:t xml:space="preserve"> constitue l’un de ces facteurs. En effet, u</w:t>
      </w:r>
      <w:r w:rsidRPr="009B3984">
        <w:rPr>
          <w:rFonts w:ascii="Times New Roman" w:eastAsia="Times New Roman" w:hAnsi="Times New Roman" w:cs="Times New Roman"/>
          <w:sz w:val="24"/>
          <w:szCs w:val="24"/>
          <w:highlight w:val="white"/>
        </w:rPr>
        <w:t>ne méta-étude du rôle de ces champs, notamment induits par l'utilisation des téléphones mobiles, identifie une augmentation significative du risque de gliome après dix ans d'exposition (4). Le rôle de la radiation ionisante a également été bien établi, notamment la réalisation fréquente de scanner cérébral (5). Il peut également y avoir des facteurs génétiques dont la mutation des gènes CDKN2B, RTEL1 (6), TERT, CCDC26, PHLDB1 (7).</w:t>
      </w:r>
    </w:p>
    <w:p w14:paraId="2D42C519" w14:textId="77777777" w:rsidR="00491DB9" w:rsidRPr="009A5B59" w:rsidRDefault="00491DB9" w:rsidP="00491DB9">
      <w:pPr>
        <w:spacing w:line="240" w:lineRule="auto"/>
        <w:ind w:hanging="2"/>
        <w:jc w:val="both"/>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Durant la période d’étude, 17 cas de gliomes diffus ont été colligés, représentant 34% des tumeurs primitives cérébrales, ce qui confirme leur place majeure parmi les tumeurs du système nerveux central. Cette proportion est comparable à celles rapportées dans certaines séries hospitalières bien qu’inférieure à certaines données de registres occidentaux où les gliomes constituent jusqu’à 50 à 60% des tumeurs cérébrales primitives, en raison notamment de la forte incidence des glioblastomes (3, 8).</w:t>
      </w:r>
    </w:p>
    <w:p w14:paraId="75900CD9" w14:textId="77777777" w:rsidR="00491DB9" w:rsidRPr="009A5B59" w:rsidRDefault="00491DB9" w:rsidP="00491DB9">
      <w:pPr>
        <w:spacing w:line="240" w:lineRule="auto"/>
        <w:ind w:hanging="2"/>
        <w:jc w:val="both"/>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Concernant l’âge, l’âge moyen dans la présente étude a été de 38,3 ans +/- 15 avec une légère prédominance des patients entre 30 à 45 ans ; ce qui est similaire aux données classiques des gliomes diffus de bas grade, qui survient généralement chez l’adulte jeune, contrairement aux glioblastomes dont l’incidence maximale se situe autour de la sixième décennie (9, 10). Dans cette série, une légère prédominance masculine a été notée, ce qui est conforme aux tendances décrites dans la littérature (3, 9).</w:t>
      </w:r>
    </w:p>
    <w:p w14:paraId="3249C696" w14:textId="77777777" w:rsidR="00491DB9" w:rsidRPr="009A5B59" w:rsidRDefault="00491DB9" w:rsidP="00491DB9">
      <w:pPr>
        <w:spacing w:line="240" w:lineRule="auto"/>
        <w:ind w:hanging="2"/>
        <w:jc w:val="both"/>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 xml:space="preserve">La distribution histologique dans notre étude est prédominée par les tumeurs de grade II de l’OMS (70,6%), avec une proportion plus faible de grades II et IV. Cette prédominance des tumeurs de bas grade contraste avec les registres nord-américains et européens, tels que le CBTRUS, où les glioblastomes (grade IV) représentent environ 50 à 55% des gliomes diffus tandis que les astrocytomes et </w:t>
      </w:r>
      <w:proofErr w:type="spellStart"/>
      <w:r w:rsidRPr="009A5B59">
        <w:rPr>
          <w:rFonts w:ascii="Times New Roman" w:eastAsia="Times New Roman" w:hAnsi="Times New Roman" w:cs="Times New Roman"/>
          <w:sz w:val="24"/>
          <w:szCs w:val="24"/>
        </w:rPr>
        <w:t>oligodendrogliomes</w:t>
      </w:r>
      <w:proofErr w:type="spellEnd"/>
      <w:r w:rsidRPr="009A5B59">
        <w:rPr>
          <w:rFonts w:ascii="Times New Roman" w:eastAsia="Times New Roman" w:hAnsi="Times New Roman" w:cs="Times New Roman"/>
          <w:sz w:val="24"/>
          <w:szCs w:val="24"/>
        </w:rPr>
        <w:t xml:space="preserve"> de bas grade sont moins fréquents (9, 10). En revanche, notre profil se rapproche davantage de celui rapporté dans plusieurs séries africaines et asiatiques, où les gliomes de bas grade sont proportionnellement plus représentés, probablement en rapport avec la population qui est plus jeune et le biais de recrutement hospitalier (11, 12).</w:t>
      </w:r>
    </w:p>
    <w:p w14:paraId="535435BE" w14:textId="77777777" w:rsidR="00491DB9" w:rsidRPr="009B3984" w:rsidRDefault="00491DB9" w:rsidP="00491DB9">
      <w:pPr>
        <w:spacing w:line="240" w:lineRule="auto"/>
        <w:ind w:hanging="2"/>
        <w:jc w:val="both"/>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Sur le plan de sous-types histologiques, l’</w:t>
      </w:r>
      <w:proofErr w:type="spellStart"/>
      <w:r w:rsidRPr="009A5B59">
        <w:rPr>
          <w:rFonts w:ascii="Times New Roman" w:eastAsia="Times New Roman" w:hAnsi="Times New Roman" w:cs="Times New Roman"/>
          <w:sz w:val="24"/>
          <w:szCs w:val="24"/>
        </w:rPr>
        <w:t>oligoastrocytome</w:t>
      </w:r>
      <w:proofErr w:type="spellEnd"/>
      <w:r w:rsidRPr="009A5B59">
        <w:rPr>
          <w:rFonts w:ascii="Times New Roman" w:eastAsia="Times New Roman" w:hAnsi="Times New Roman" w:cs="Times New Roman"/>
          <w:sz w:val="24"/>
          <w:szCs w:val="24"/>
        </w:rPr>
        <w:t xml:space="preserve"> constitue 35,3% des gliomes diffus dans cette série, ce qui est nettement supérieur par rapport à celles de la littérature internationale où il représente généralement moins de 5% des gliomes diffus dans les études récentes (9, 13). Cette différence pourrait s’expliquer très probablement par l’utilisation exclusive de l’histologie comme méthode de diagnostique dans notre étude. En effet, depuis l’introduction des classifications OMS 2016 puis 2021, l’entité « </w:t>
      </w:r>
      <w:proofErr w:type="spellStart"/>
      <w:r w:rsidRPr="009A5B59">
        <w:rPr>
          <w:rFonts w:ascii="Times New Roman" w:eastAsia="Times New Roman" w:hAnsi="Times New Roman" w:cs="Times New Roman"/>
          <w:sz w:val="24"/>
          <w:szCs w:val="24"/>
        </w:rPr>
        <w:t>oligoastrocytome</w:t>
      </w:r>
      <w:proofErr w:type="spellEnd"/>
      <w:r w:rsidRPr="009A5B59">
        <w:rPr>
          <w:rFonts w:ascii="Times New Roman" w:eastAsia="Times New Roman" w:hAnsi="Times New Roman" w:cs="Times New Roman"/>
          <w:sz w:val="24"/>
          <w:szCs w:val="24"/>
        </w:rPr>
        <w:t xml:space="preserve"> » est devenue obsolète, car la majorité de ces tumeurs peuvent être reclassées, après analyse moléculaire, soit comme astrocytome IDH-mutés, soit comme </w:t>
      </w:r>
      <w:proofErr w:type="spellStart"/>
      <w:r w:rsidRPr="009A5B59">
        <w:rPr>
          <w:rFonts w:ascii="Times New Roman" w:eastAsia="Times New Roman" w:hAnsi="Times New Roman" w:cs="Times New Roman"/>
          <w:sz w:val="24"/>
          <w:szCs w:val="24"/>
        </w:rPr>
        <w:t>oligodendrogliomes</w:t>
      </w:r>
      <w:proofErr w:type="spellEnd"/>
      <w:r w:rsidRPr="009A5B59">
        <w:rPr>
          <w:rFonts w:ascii="Times New Roman" w:eastAsia="Times New Roman" w:hAnsi="Times New Roman" w:cs="Times New Roman"/>
          <w:sz w:val="24"/>
          <w:szCs w:val="24"/>
        </w:rPr>
        <w:t xml:space="preserve"> IDH-mutés avec </w:t>
      </w:r>
      <w:proofErr w:type="spellStart"/>
      <w:r w:rsidRPr="009A5B59">
        <w:rPr>
          <w:rFonts w:ascii="Times New Roman" w:eastAsia="Times New Roman" w:hAnsi="Times New Roman" w:cs="Times New Roman"/>
          <w:sz w:val="24"/>
          <w:szCs w:val="24"/>
        </w:rPr>
        <w:t>codélétion</w:t>
      </w:r>
      <w:proofErr w:type="spellEnd"/>
      <w:r w:rsidRPr="009A5B59">
        <w:rPr>
          <w:rFonts w:ascii="Times New Roman" w:eastAsia="Times New Roman" w:hAnsi="Times New Roman" w:cs="Times New Roman"/>
          <w:sz w:val="24"/>
          <w:szCs w:val="24"/>
        </w:rPr>
        <w:t xml:space="preserve"> 1p/19q (14, 15). Plusieurs études ont montré que l’absence de marqueurs moléculaires conduit à une surestimation des formes mixtes, avec une variabilité inter-observateur importante (15, 16). Les astrocytomes (diffus et anaplasiques) représentent 29,4% de notre série, une proportion globalement comparable à certaines séries cliniques, bien que variable selon les études et les critères diagnostiques utilisés (10, 12). L’</w:t>
      </w:r>
      <w:proofErr w:type="spellStart"/>
      <w:r w:rsidRPr="009A5B59">
        <w:rPr>
          <w:rFonts w:ascii="Times New Roman" w:eastAsia="Times New Roman" w:hAnsi="Times New Roman" w:cs="Times New Roman"/>
          <w:sz w:val="24"/>
          <w:szCs w:val="24"/>
        </w:rPr>
        <w:t>oligodendrogliome</w:t>
      </w:r>
      <w:proofErr w:type="spellEnd"/>
      <w:r w:rsidRPr="009A5B59">
        <w:rPr>
          <w:rFonts w:ascii="Times New Roman" w:eastAsia="Times New Roman" w:hAnsi="Times New Roman" w:cs="Times New Roman"/>
          <w:sz w:val="24"/>
          <w:szCs w:val="24"/>
        </w:rPr>
        <w:t xml:space="preserve"> représente 17,6% des</w:t>
      </w:r>
      <w:r w:rsidRPr="009B3984">
        <w:rPr>
          <w:rFonts w:ascii="Times New Roman" w:eastAsia="Times New Roman" w:hAnsi="Times New Roman" w:cs="Times New Roman"/>
          <w:sz w:val="24"/>
          <w:szCs w:val="24"/>
        </w:rPr>
        <w:t xml:space="preserve"> cas, ce qui est légèrement supérieur à </w:t>
      </w:r>
      <w:r w:rsidRPr="009B3984">
        <w:rPr>
          <w:rFonts w:ascii="Times New Roman" w:eastAsia="Times New Roman" w:hAnsi="Times New Roman" w:cs="Times New Roman"/>
          <w:sz w:val="24"/>
          <w:szCs w:val="24"/>
        </w:rPr>
        <w:lastRenderedPageBreak/>
        <w:t>certaines données nationales mais cohérent avec des séries hospitalières, incluant majoritairement des adultes jeunes (17). Pour le glioblastome, la proportion de cette étude est relativement plus faible, liée probablement à la taille réduite de l’échantillon et à un biais de sélection, les formes très agressives étant parfois diagnostiquées tardivement ou non confirmées histologiquement dans certains contextes (11).</w:t>
      </w:r>
    </w:p>
    <w:p w14:paraId="609E9E47" w14:textId="77777777" w:rsidR="00491DB9" w:rsidRPr="009B3984" w:rsidRDefault="00491DB9" w:rsidP="00491DB9">
      <w:pPr>
        <w:spacing w:line="240" w:lineRule="auto"/>
        <w:ind w:hanging="2"/>
        <w:jc w:val="both"/>
        <w:rPr>
          <w:rFonts w:ascii="Times New Roman" w:eastAsia="Times New Roman" w:hAnsi="Times New Roman" w:cs="Times New Roman"/>
          <w:sz w:val="24"/>
          <w:szCs w:val="24"/>
        </w:rPr>
      </w:pPr>
      <w:r w:rsidRPr="009B3984">
        <w:rPr>
          <w:rFonts w:ascii="Times New Roman" w:eastAsia="Times New Roman" w:hAnsi="Times New Roman" w:cs="Times New Roman"/>
          <w:sz w:val="24"/>
          <w:szCs w:val="24"/>
        </w:rPr>
        <w:t xml:space="preserve">Cette étude présente certaines limites, </w:t>
      </w:r>
      <w:r w:rsidRPr="009A5B59">
        <w:rPr>
          <w:rFonts w:ascii="Times New Roman" w:eastAsia="Times New Roman" w:hAnsi="Times New Roman" w:cs="Times New Roman"/>
          <w:sz w:val="24"/>
          <w:szCs w:val="24"/>
        </w:rPr>
        <w:t xml:space="preserve">telles </w:t>
      </w:r>
      <w:r w:rsidRPr="009B3984">
        <w:rPr>
          <w:rFonts w:ascii="Times New Roman" w:eastAsia="Times New Roman" w:hAnsi="Times New Roman" w:cs="Times New Roman"/>
          <w:sz w:val="24"/>
          <w:szCs w:val="24"/>
        </w:rPr>
        <w:t xml:space="preserve">que le faible effectif et surtout l’absence d’analyses moléculaires, désormais essentielles dans la classification moderne des gliomes diffus. </w:t>
      </w:r>
      <w:r w:rsidRPr="009B3984">
        <w:rPr>
          <w:rFonts w:ascii="Times New Roman" w:hAnsi="Times New Roman" w:cs="Times New Roman"/>
          <w:sz w:val="24"/>
          <w:szCs w:val="24"/>
        </w:rPr>
        <w:t xml:space="preserve">Cette contrainte limite la comparaison directe avec les séries récentes fondées sur la classification OMS 2021 et peut expliquer la surreprésentation des tumeurs de bas grade ainsi que la proportion élevée </w:t>
      </w:r>
      <w:r w:rsidRPr="009B3984">
        <w:rPr>
          <w:rFonts w:ascii="Times New Roman" w:hAnsi="Times New Roman" w:cs="Times New Roman"/>
          <w:sz w:val="24"/>
          <w:szCs w:val="24"/>
        </w:rPr>
        <w:t>d’</w:t>
      </w:r>
      <w:proofErr w:type="spellStart"/>
      <w:r w:rsidRPr="009B3984">
        <w:rPr>
          <w:rFonts w:ascii="Times New Roman" w:hAnsi="Times New Roman" w:cs="Times New Roman"/>
          <w:sz w:val="24"/>
          <w:szCs w:val="24"/>
        </w:rPr>
        <w:t>oligoastrocytomes</w:t>
      </w:r>
      <w:proofErr w:type="spellEnd"/>
      <w:r w:rsidRPr="009B3984">
        <w:rPr>
          <w:rFonts w:ascii="Times New Roman" w:hAnsi="Times New Roman" w:cs="Times New Roman"/>
          <w:sz w:val="24"/>
          <w:szCs w:val="24"/>
        </w:rPr>
        <w:t xml:space="preserve"> observée dans notre série. En effet, l’absence de données moléculaires empêche une stratification précise des gliomes diffus selon le statut IDH et la </w:t>
      </w:r>
      <w:proofErr w:type="spellStart"/>
      <w:r w:rsidRPr="009B3984">
        <w:rPr>
          <w:rFonts w:ascii="Times New Roman" w:hAnsi="Times New Roman" w:cs="Times New Roman"/>
          <w:sz w:val="24"/>
          <w:szCs w:val="24"/>
        </w:rPr>
        <w:t>codélétion</w:t>
      </w:r>
      <w:proofErr w:type="spellEnd"/>
      <w:r w:rsidRPr="009B3984">
        <w:rPr>
          <w:rFonts w:ascii="Times New Roman" w:hAnsi="Times New Roman" w:cs="Times New Roman"/>
          <w:sz w:val="24"/>
          <w:szCs w:val="24"/>
        </w:rPr>
        <w:t xml:space="preserve"> 1p/19q, éléments pronostiques et thérapeutiques </w:t>
      </w:r>
      <w:r w:rsidRPr="009A5B59">
        <w:rPr>
          <w:rFonts w:ascii="Times New Roman" w:hAnsi="Times New Roman" w:cs="Times New Roman"/>
          <w:sz w:val="24"/>
          <w:szCs w:val="24"/>
        </w:rPr>
        <w:t>majeurs. Par</w:t>
      </w:r>
      <w:r w:rsidRPr="009B3984">
        <w:rPr>
          <w:rFonts w:ascii="Times New Roman" w:hAnsi="Times New Roman" w:cs="Times New Roman"/>
          <w:sz w:val="24"/>
          <w:szCs w:val="24"/>
        </w:rPr>
        <w:t xml:space="preserve"> ailleurs, le biais de recrutement hospitalier, associé au contexte socio-économique et aux difficultés d’accès aux structures spécialisées, pourrait également influencer le profil histologique observé. Les formes très agressives, notamment les glioblastomes, peuvent être sous-représentées en raison d’un diagnostic tardif, d’une prise en charge limitée ou de l’absence de confirmation histologique dans certains cas. Malgré ces limites, cette étude reflète la réalité diagnostique quotidienne dans de nombreux pays à ressources limitées et apporte des données locales utiles sur les gliomes diffus.</w:t>
      </w:r>
    </w:p>
    <w:p w14:paraId="402AE4FB" w14:textId="77777777" w:rsidR="003F2BF8" w:rsidRDefault="003F2BF8" w:rsidP="007108E8">
      <w:pPr>
        <w:spacing w:line="240" w:lineRule="auto"/>
        <w:jc w:val="both"/>
        <w:rPr>
          <w:rFonts w:ascii="Times New Roman" w:hAnsi="Times New Roman" w:cs="Times New Roman"/>
          <w:b/>
          <w:sz w:val="24"/>
        </w:rPr>
        <w:sectPr w:rsidR="003F2BF8" w:rsidSect="003F2BF8">
          <w:type w:val="continuous"/>
          <w:pgSz w:w="11906" w:h="16838"/>
          <w:pgMar w:top="1417" w:right="1417" w:bottom="1417" w:left="1417" w:header="708" w:footer="708" w:gutter="0"/>
          <w:cols w:num="2" w:space="708"/>
          <w:docGrid w:linePitch="360"/>
        </w:sectPr>
      </w:pPr>
    </w:p>
    <w:p w14:paraId="489F4D32" w14:textId="77777777" w:rsidR="00316FD4" w:rsidRDefault="00316FD4" w:rsidP="007108E8">
      <w:pPr>
        <w:spacing w:line="240" w:lineRule="auto"/>
        <w:jc w:val="both"/>
        <w:rPr>
          <w:rFonts w:ascii="Times New Roman" w:hAnsi="Times New Roman" w:cs="Times New Roman"/>
          <w:b/>
          <w:sz w:val="24"/>
        </w:rPr>
      </w:pPr>
    </w:p>
    <w:p w14:paraId="2261531A" w14:textId="77777777" w:rsidR="00685DE2" w:rsidRPr="007108E8" w:rsidRDefault="00000000" w:rsidP="007108E8">
      <w:pPr>
        <w:spacing w:line="240" w:lineRule="auto"/>
        <w:jc w:val="both"/>
        <w:rPr>
          <w:rFonts w:ascii="Times New Roman" w:hAnsi="Times New Roman" w:cs="Times New Roman"/>
          <w:b/>
          <w:color w:val="0000FF"/>
          <w:sz w:val="24"/>
        </w:rPr>
      </w:pPr>
      <w:r>
        <w:rPr>
          <w:rFonts w:ascii="Times New Roman" w:hAnsi="Times New Roman" w:cs="Times New Roman"/>
          <w:b/>
          <w:noProof/>
          <w:color w:val="0000FF"/>
          <w:sz w:val="24"/>
        </w:rPr>
        <w:pict w14:anchorId="4D21A31D">
          <v:shape id="AutoShape 16" o:spid="_x0000_s1028" type="#_x0000_t32" style="position:absolute;left:0;text-align:left;margin-left:59.95pt;margin-top:7.95pt;width:392.4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" strokecolor="blue" strokeweight="1.5pt"/>
        </w:pict>
      </w:r>
      <w:r w:rsidR="00685DE2" w:rsidRPr="007108E8">
        <w:rPr>
          <w:rFonts w:ascii="Times New Roman" w:hAnsi="Times New Roman" w:cs="Times New Roman"/>
          <w:b/>
          <w:color w:val="0000FF"/>
          <w:sz w:val="24"/>
        </w:rPr>
        <w:t>Conclusion</w:t>
      </w:r>
    </w:p>
    <w:p w14:paraId="0ABDE16B" w14:textId="77777777" w:rsidR="009A5B59" w:rsidRPr="009B3984" w:rsidRDefault="009A5B59" w:rsidP="009A5B59">
      <w:pPr>
        <w:spacing w:line="240" w:lineRule="auto"/>
        <w:ind w:left="-2"/>
        <w:jc w:val="both"/>
        <w:rPr>
          <w:rFonts w:ascii="Times New Roman" w:hAnsi="Times New Roman" w:cs="Times New Roman"/>
          <w:sz w:val="24"/>
          <w:szCs w:val="24"/>
        </w:rPr>
      </w:pPr>
      <w:r w:rsidRPr="009B3984">
        <w:rPr>
          <w:rFonts w:ascii="Times New Roman" w:hAnsi="Times New Roman" w:cs="Times New Roman"/>
          <w:sz w:val="24"/>
          <w:szCs w:val="24"/>
        </w:rPr>
        <w:t xml:space="preserve">Les gliomes diffus représentent une proportion importante des tumeurs primitives du système nerveux central dans cette série, avec une prédominance des formes de bas grade et une atteinte préférentielle de l’adulte jeune. Le profil histologique observé diffère de celui des registres occidentaux, se rapprochant davantage des séries africaines et asiatiques. La fréquence élevée des </w:t>
      </w:r>
      <w:proofErr w:type="spellStart"/>
      <w:r w:rsidRPr="009B3984">
        <w:rPr>
          <w:rFonts w:ascii="Times New Roman" w:hAnsi="Times New Roman" w:cs="Times New Roman"/>
          <w:sz w:val="24"/>
          <w:szCs w:val="24"/>
        </w:rPr>
        <w:t>oligoastrocytomes</w:t>
      </w:r>
      <w:proofErr w:type="spellEnd"/>
      <w:r w:rsidRPr="009B3984">
        <w:rPr>
          <w:rFonts w:ascii="Times New Roman" w:hAnsi="Times New Roman" w:cs="Times New Roman"/>
          <w:sz w:val="24"/>
          <w:szCs w:val="24"/>
        </w:rPr>
        <w:t xml:space="preserve"> souligne les limites d’une approche exclusivement histologique et met en évidence la nécessité d’intégrer les analyses moléculaires conformément à la classification OMS 2021. Le développement de ces outils diagnostiques constitue un enjeu majeur pour améliorer la classification, la prise en charge thérapeutique et le pronostic des patients dans notre contexte.</w:t>
      </w:r>
    </w:p>
    <w:p w14:paraId="317D7899" w14:textId="77777777" w:rsidR="00B23BC7" w:rsidRPr="009E7A19" w:rsidRDefault="00000000" w:rsidP="009E7A19">
      <w:pPr>
        <w:spacing w:line="240" w:lineRule="auto"/>
        <w:jc w:val="both"/>
        <w:rPr>
          <w:rFonts w:ascii="Times New Roman" w:hAnsi="Times New Roman" w:cs="Times New Roman"/>
          <w:b/>
          <w:color w:val="0000FF"/>
          <w:sz w:val="24"/>
        </w:rPr>
      </w:pPr>
      <w:r>
        <w:rPr>
          <w:rFonts w:ascii="Times New Roman" w:hAnsi="Times New Roman" w:cs="Times New Roman"/>
          <w:b/>
          <w:noProof/>
          <w:color w:val="0000FF"/>
          <w:sz w:val="24"/>
        </w:rPr>
        <w:pict w14:anchorId="1E7B7BA9">
          <v:shape id="AutoShape 17" o:spid="_x0000_s1027" type="#_x0000_t32" style="position:absolute;left:0;text-align:left;margin-left:59.35pt;margin-top:7.8pt;width:395.4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" strokecolor="blue" strokeweight="1.5pt"/>
        </w:pict>
      </w:r>
      <w:r w:rsidR="00902E15" w:rsidRPr="007108E8">
        <w:rPr>
          <w:rFonts w:ascii="Times New Roman" w:hAnsi="Times New Roman" w:cs="Times New Roman"/>
          <w:b/>
          <w:color w:val="0000FF"/>
          <w:sz w:val="24"/>
        </w:rPr>
        <w:t>Références</w:t>
      </w:r>
    </w:p>
    <w:p w14:paraId="35885E4C" w14:textId="77777777" w:rsidR="009A5B59" w:rsidRPr="009A5B59" w:rsidRDefault="009A5B59" w:rsidP="009A5B59">
      <w:pPr>
        <w:pStyle w:val="Paragraphedeliste"/>
        <w:numPr>
          <w:ilvl w:val="0"/>
          <w:numId w:val="2"/>
        </w:numPr>
        <w:suppressAutoHyphens/>
        <w:spacing w:after="0" w:line="240" w:lineRule="auto"/>
        <w:jc w:val="both"/>
        <w:textDirection w:val="btLr"/>
        <w:textAlignment w:val="top"/>
        <w:outlineLvl w:val="0"/>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rPr>
        <w:t xml:space="preserve">Ricard D, </w:t>
      </w:r>
      <w:proofErr w:type="spellStart"/>
      <w:r w:rsidRPr="009A5B59">
        <w:rPr>
          <w:rFonts w:ascii="Times New Roman" w:eastAsia="Times New Roman" w:hAnsi="Times New Roman" w:cs="Times New Roman"/>
          <w:sz w:val="24"/>
          <w:szCs w:val="24"/>
        </w:rPr>
        <w:t>Idbaih</w:t>
      </w:r>
      <w:proofErr w:type="spellEnd"/>
      <w:r w:rsidRPr="009A5B59">
        <w:rPr>
          <w:rFonts w:ascii="Times New Roman" w:eastAsia="Times New Roman" w:hAnsi="Times New Roman" w:cs="Times New Roman"/>
          <w:sz w:val="24"/>
          <w:szCs w:val="24"/>
        </w:rPr>
        <w:t xml:space="preserve"> A, </w:t>
      </w:r>
      <w:proofErr w:type="spellStart"/>
      <w:r w:rsidRPr="009A5B59">
        <w:rPr>
          <w:rFonts w:ascii="Times New Roman" w:eastAsia="Times New Roman" w:hAnsi="Times New Roman" w:cs="Times New Roman"/>
          <w:sz w:val="24"/>
          <w:szCs w:val="24"/>
        </w:rPr>
        <w:t>Ducray</w:t>
      </w:r>
      <w:proofErr w:type="spellEnd"/>
      <w:r w:rsidRPr="009A5B59">
        <w:rPr>
          <w:rFonts w:ascii="Times New Roman" w:eastAsia="Times New Roman" w:hAnsi="Times New Roman" w:cs="Times New Roman"/>
          <w:sz w:val="24"/>
          <w:szCs w:val="24"/>
        </w:rPr>
        <w:t xml:space="preserve"> F, </w:t>
      </w:r>
      <w:proofErr w:type="spellStart"/>
      <w:r w:rsidRPr="009A5B59">
        <w:rPr>
          <w:rFonts w:ascii="Times New Roman" w:eastAsia="Times New Roman" w:hAnsi="Times New Roman" w:cs="Times New Roman"/>
          <w:sz w:val="24"/>
          <w:szCs w:val="24"/>
        </w:rPr>
        <w:t>Lahutte</w:t>
      </w:r>
      <w:proofErr w:type="spellEnd"/>
      <w:r w:rsidRPr="009A5B59">
        <w:rPr>
          <w:rFonts w:ascii="Times New Roman" w:eastAsia="Times New Roman" w:hAnsi="Times New Roman" w:cs="Times New Roman"/>
          <w:sz w:val="24"/>
          <w:szCs w:val="24"/>
        </w:rPr>
        <w:t xml:space="preserve"> M, Hoang-Xuan K, Delattre J-Y. </w:t>
      </w:r>
      <w:proofErr w:type="spellStart"/>
      <w:r w:rsidRPr="009A5B59">
        <w:rPr>
          <w:rFonts w:ascii="Times New Roman" w:eastAsia="Times New Roman" w:hAnsi="Times New Roman" w:cs="Times New Roman"/>
          <w:sz w:val="24"/>
          <w:szCs w:val="24"/>
        </w:rPr>
        <w:t>Primary</w:t>
      </w:r>
      <w:proofErr w:type="spellEnd"/>
      <w:r w:rsidRPr="009A5B59">
        <w:rPr>
          <w:rFonts w:ascii="Times New Roman" w:eastAsia="Times New Roman" w:hAnsi="Times New Roman" w:cs="Times New Roman"/>
          <w:sz w:val="24"/>
          <w:szCs w:val="24"/>
        </w:rPr>
        <w:t xml:space="preserve"> </w:t>
      </w:r>
      <w:proofErr w:type="spellStart"/>
      <w:r w:rsidRPr="009A5B59">
        <w:rPr>
          <w:rFonts w:ascii="Times New Roman" w:eastAsia="Times New Roman" w:hAnsi="Times New Roman" w:cs="Times New Roman"/>
          <w:sz w:val="24"/>
          <w:szCs w:val="24"/>
        </w:rPr>
        <w:t>brain</w:t>
      </w:r>
      <w:proofErr w:type="spellEnd"/>
      <w:r w:rsidRPr="009A5B59">
        <w:rPr>
          <w:rFonts w:ascii="Times New Roman" w:eastAsia="Times New Roman" w:hAnsi="Times New Roman" w:cs="Times New Roman"/>
          <w:sz w:val="24"/>
          <w:szCs w:val="24"/>
        </w:rPr>
        <w:t xml:space="preserve"> </w:t>
      </w:r>
      <w:proofErr w:type="spellStart"/>
      <w:r w:rsidRPr="009A5B59">
        <w:rPr>
          <w:rFonts w:ascii="Times New Roman" w:eastAsia="Times New Roman" w:hAnsi="Times New Roman" w:cs="Times New Roman"/>
          <w:sz w:val="24"/>
          <w:szCs w:val="24"/>
        </w:rPr>
        <w:t>tumours</w:t>
      </w:r>
      <w:proofErr w:type="spellEnd"/>
      <w:r w:rsidRPr="009A5B59">
        <w:rPr>
          <w:rFonts w:ascii="Times New Roman" w:eastAsia="Times New Roman" w:hAnsi="Times New Roman" w:cs="Times New Roman"/>
          <w:sz w:val="24"/>
          <w:szCs w:val="24"/>
        </w:rPr>
        <w:t xml:space="preserve"> in </w:t>
      </w:r>
      <w:proofErr w:type="spellStart"/>
      <w:r w:rsidRPr="009A5B59">
        <w:rPr>
          <w:rFonts w:ascii="Times New Roman" w:eastAsia="Times New Roman" w:hAnsi="Times New Roman" w:cs="Times New Roman"/>
          <w:sz w:val="24"/>
          <w:szCs w:val="24"/>
        </w:rPr>
        <w:t>adults</w:t>
      </w:r>
      <w:proofErr w:type="spellEnd"/>
      <w:r w:rsidRPr="009A5B59">
        <w:rPr>
          <w:rFonts w:ascii="Times New Roman" w:eastAsia="Times New Roman" w:hAnsi="Times New Roman" w:cs="Times New Roman"/>
          <w:sz w:val="24"/>
          <w:szCs w:val="24"/>
        </w:rPr>
        <w:t xml:space="preserve">. </w:t>
      </w:r>
      <w:proofErr w:type="gramStart"/>
      <w:r w:rsidRPr="009A5B59">
        <w:rPr>
          <w:rFonts w:ascii="Times New Roman" w:eastAsia="Times New Roman" w:hAnsi="Times New Roman" w:cs="Times New Roman"/>
          <w:i/>
          <w:iCs/>
          <w:sz w:val="24"/>
          <w:szCs w:val="24"/>
        </w:rPr>
        <w:t>Lancet</w:t>
      </w:r>
      <w:r w:rsidRPr="009A5B59">
        <w:rPr>
          <w:rFonts w:ascii="Times New Roman" w:eastAsia="Times New Roman" w:hAnsi="Times New Roman" w:cs="Times New Roman"/>
          <w:sz w:val="24"/>
          <w:szCs w:val="24"/>
        </w:rPr>
        <w:t xml:space="preserve">  2012</w:t>
      </w:r>
      <w:proofErr w:type="gramEnd"/>
      <w:r w:rsidRPr="009A5B59">
        <w:rPr>
          <w:rFonts w:ascii="Times New Roman" w:eastAsia="Times New Roman" w:hAnsi="Times New Roman" w:cs="Times New Roman"/>
          <w:sz w:val="24"/>
          <w:szCs w:val="24"/>
        </w:rPr>
        <w:t>;379(9830):198496.</w:t>
      </w:r>
    </w:p>
    <w:p w14:paraId="4B9665D9" w14:textId="77777777" w:rsidR="009A5B59" w:rsidRPr="009A5B59" w:rsidRDefault="009A5B59" w:rsidP="009A5B59">
      <w:pPr>
        <w:pStyle w:val="Paragraphedeliste"/>
        <w:numPr>
          <w:ilvl w:val="0"/>
          <w:numId w:val="2"/>
        </w:numPr>
        <w:suppressAutoHyphens/>
        <w:spacing w:after="0" w:line="240" w:lineRule="auto"/>
        <w:jc w:val="both"/>
        <w:textDirection w:val="btLr"/>
        <w:textAlignment w:val="top"/>
        <w:outlineLvl w:val="0"/>
        <w:rPr>
          <w:rFonts w:ascii="Times New Roman" w:eastAsia="Times New Roman" w:hAnsi="Times New Roman" w:cs="Times New Roman"/>
          <w:sz w:val="24"/>
          <w:szCs w:val="24"/>
        </w:rPr>
      </w:pPr>
      <w:proofErr w:type="spellStart"/>
      <w:r w:rsidRPr="009A5B59">
        <w:rPr>
          <w:rFonts w:ascii="Times New Roman" w:eastAsia="Times New Roman" w:hAnsi="Times New Roman" w:cs="Times New Roman"/>
          <w:sz w:val="24"/>
          <w:szCs w:val="24"/>
        </w:rPr>
        <w:t>Rigau</w:t>
      </w:r>
      <w:proofErr w:type="spellEnd"/>
      <w:r w:rsidRPr="009A5B59">
        <w:rPr>
          <w:rFonts w:ascii="Times New Roman" w:eastAsia="Times New Roman" w:hAnsi="Times New Roman" w:cs="Times New Roman"/>
          <w:sz w:val="24"/>
          <w:szCs w:val="24"/>
        </w:rPr>
        <w:t xml:space="preserve"> V, </w:t>
      </w:r>
      <w:proofErr w:type="spellStart"/>
      <w:r w:rsidRPr="009A5B59">
        <w:rPr>
          <w:rFonts w:ascii="Times New Roman" w:eastAsia="Times New Roman" w:hAnsi="Times New Roman" w:cs="Times New Roman"/>
          <w:sz w:val="24"/>
          <w:szCs w:val="24"/>
        </w:rPr>
        <w:t>Zouaoui</w:t>
      </w:r>
      <w:proofErr w:type="spellEnd"/>
      <w:r w:rsidRPr="009A5B59">
        <w:rPr>
          <w:rFonts w:ascii="Times New Roman" w:eastAsia="Times New Roman" w:hAnsi="Times New Roman" w:cs="Times New Roman"/>
          <w:sz w:val="24"/>
          <w:szCs w:val="24"/>
        </w:rPr>
        <w:t xml:space="preserve"> S, Mathieu-</w:t>
      </w:r>
      <w:proofErr w:type="spellStart"/>
      <w:r w:rsidRPr="009A5B59">
        <w:rPr>
          <w:rFonts w:ascii="Times New Roman" w:eastAsia="Times New Roman" w:hAnsi="Times New Roman" w:cs="Times New Roman"/>
          <w:sz w:val="24"/>
          <w:szCs w:val="24"/>
        </w:rPr>
        <w:t>Daudé</w:t>
      </w:r>
      <w:proofErr w:type="spellEnd"/>
      <w:r w:rsidRPr="009A5B59">
        <w:rPr>
          <w:rFonts w:ascii="Times New Roman" w:eastAsia="Times New Roman" w:hAnsi="Times New Roman" w:cs="Times New Roman"/>
          <w:sz w:val="24"/>
          <w:szCs w:val="24"/>
        </w:rPr>
        <w:t xml:space="preserve"> H, </w:t>
      </w:r>
      <w:proofErr w:type="spellStart"/>
      <w:r w:rsidRPr="009A5B59">
        <w:rPr>
          <w:rFonts w:ascii="Times New Roman" w:eastAsia="Times New Roman" w:hAnsi="Times New Roman" w:cs="Times New Roman"/>
          <w:sz w:val="24"/>
          <w:szCs w:val="24"/>
        </w:rPr>
        <w:t>Darlix</w:t>
      </w:r>
      <w:proofErr w:type="spellEnd"/>
      <w:r w:rsidRPr="009A5B59">
        <w:rPr>
          <w:rFonts w:ascii="Times New Roman" w:eastAsia="Times New Roman" w:hAnsi="Times New Roman" w:cs="Times New Roman"/>
          <w:sz w:val="24"/>
          <w:szCs w:val="24"/>
        </w:rPr>
        <w:t xml:space="preserve"> A, </w:t>
      </w:r>
      <w:proofErr w:type="spellStart"/>
      <w:r w:rsidRPr="009A5B59">
        <w:rPr>
          <w:rFonts w:ascii="Times New Roman" w:eastAsia="Times New Roman" w:hAnsi="Times New Roman" w:cs="Times New Roman"/>
          <w:sz w:val="24"/>
          <w:szCs w:val="24"/>
        </w:rPr>
        <w:t>Maran</w:t>
      </w:r>
      <w:proofErr w:type="spellEnd"/>
      <w:r w:rsidRPr="009A5B59">
        <w:rPr>
          <w:rFonts w:ascii="Times New Roman" w:eastAsia="Times New Roman" w:hAnsi="Times New Roman" w:cs="Times New Roman"/>
          <w:sz w:val="24"/>
          <w:szCs w:val="24"/>
        </w:rPr>
        <w:t xml:space="preserve"> A, </w:t>
      </w:r>
      <w:proofErr w:type="spellStart"/>
      <w:r w:rsidRPr="009A5B59">
        <w:rPr>
          <w:rFonts w:ascii="Times New Roman" w:eastAsia="Times New Roman" w:hAnsi="Times New Roman" w:cs="Times New Roman"/>
          <w:sz w:val="24"/>
          <w:szCs w:val="24"/>
        </w:rPr>
        <w:t>Trétarre</w:t>
      </w:r>
      <w:proofErr w:type="spellEnd"/>
      <w:r w:rsidRPr="009A5B59">
        <w:rPr>
          <w:rFonts w:ascii="Times New Roman" w:eastAsia="Times New Roman" w:hAnsi="Times New Roman" w:cs="Times New Roman"/>
          <w:sz w:val="24"/>
          <w:szCs w:val="24"/>
        </w:rPr>
        <w:t xml:space="preserve"> B, et al. French </w:t>
      </w:r>
      <w:proofErr w:type="spellStart"/>
      <w:r w:rsidRPr="009A5B59">
        <w:rPr>
          <w:rFonts w:ascii="Times New Roman" w:eastAsia="Times New Roman" w:hAnsi="Times New Roman" w:cs="Times New Roman"/>
          <w:sz w:val="24"/>
          <w:szCs w:val="24"/>
        </w:rPr>
        <w:t>brain</w:t>
      </w:r>
      <w:proofErr w:type="spellEnd"/>
      <w:r w:rsidRPr="009A5B59">
        <w:rPr>
          <w:rFonts w:ascii="Times New Roman" w:eastAsia="Times New Roman" w:hAnsi="Times New Roman" w:cs="Times New Roman"/>
          <w:sz w:val="24"/>
          <w:szCs w:val="24"/>
        </w:rPr>
        <w:t xml:space="preserve"> </w:t>
      </w:r>
      <w:proofErr w:type="spellStart"/>
      <w:r w:rsidRPr="009A5B59">
        <w:rPr>
          <w:rFonts w:ascii="Times New Roman" w:eastAsia="Times New Roman" w:hAnsi="Times New Roman" w:cs="Times New Roman"/>
          <w:sz w:val="24"/>
          <w:szCs w:val="24"/>
        </w:rPr>
        <w:t>tumor</w:t>
      </w:r>
      <w:proofErr w:type="spellEnd"/>
      <w:r w:rsidRPr="009A5B59">
        <w:rPr>
          <w:rFonts w:ascii="Times New Roman" w:eastAsia="Times New Roman" w:hAnsi="Times New Roman" w:cs="Times New Roman"/>
          <w:sz w:val="24"/>
          <w:szCs w:val="24"/>
        </w:rPr>
        <w:t xml:space="preserve"> data </w:t>
      </w:r>
      <w:proofErr w:type="gramStart"/>
      <w:r w:rsidRPr="009A5B59">
        <w:rPr>
          <w:rFonts w:ascii="Times New Roman" w:eastAsia="Times New Roman" w:hAnsi="Times New Roman" w:cs="Times New Roman"/>
          <w:sz w:val="24"/>
          <w:szCs w:val="24"/>
        </w:rPr>
        <w:t>base:</w:t>
      </w:r>
      <w:proofErr w:type="gramEnd"/>
      <w:r w:rsidRPr="009A5B59">
        <w:rPr>
          <w:rFonts w:ascii="Times New Roman" w:eastAsia="Times New Roman" w:hAnsi="Times New Roman" w:cs="Times New Roman"/>
          <w:sz w:val="24"/>
          <w:szCs w:val="24"/>
        </w:rPr>
        <w:t xml:space="preserve"> 5-year </w:t>
      </w:r>
      <w:proofErr w:type="spellStart"/>
      <w:r w:rsidRPr="009A5B59">
        <w:rPr>
          <w:rFonts w:ascii="Times New Roman" w:eastAsia="Times New Roman" w:hAnsi="Times New Roman" w:cs="Times New Roman"/>
          <w:sz w:val="24"/>
          <w:szCs w:val="24"/>
        </w:rPr>
        <w:t>histological</w:t>
      </w:r>
      <w:proofErr w:type="spellEnd"/>
      <w:r w:rsidRPr="009A5B59">
        <w:rPr>
          <w:rFonts w:ascii="Times New Roman" w:eastAsia="Times New Roman" w:hAnsi="Times New Roman" w:cs="Times New Roman"/>
          <w:sz w:val="24"/>
          <w:szCs w:val="24"/>
        </w:rPr>
        <w:t xml:space="preserve"> </w:t>
      </w:r>
      <w:proofErr w:type="spellStart"/>
      <w:r w:rsidRPr="009A5B59">
        <w:rPr>
          <w:rFonts w:ascii="Times New Roman" w:eastAsia="Times New Roman" w:hAnsi="Times New Roman" w:cs="Times New Roman"/>
          <w:sz w:val="24"/>
          <w:szCs w:val="24"/>
        </w:rPr>
        <w:t>results</w:t>
      </w:r>
      <w:proofErr w:type="spellEnd"/>
      <w:r w:rsidRPr="009A5B59">
        <w:rPr>
          <w:rFonts w:ascii="Times New Roman" w:eastAsia="Times New Roman" w:hAnsi="Times New Roman" w:cs="Times New Roman"/>
          <w:sz w:val="24"/>
          <w:szCs w:val="24"/>
        </w:rPr>
        <w:t xml:space="preserve"> on 25756 cases. </w:t>
      </w:r>
      <w:r w:rsidRPr="009A5B59">
        <w:rPr>
          <w:rFonts w:ascii="Times New Roman" w:eastAsia="Times New Roman" w:hAnsi="Times New Roman" w:cs="Times New Roman"/>
          <w:i/>
          <w:iCs/>
          <w:sz w:val="24"/>
          <w:szCs w:val="24"/>
        </w:rPr>
        <w:t xml:space="preserve">Brain </w:t>
      </w:r>
      <w:proofErr w:type="spellStart"/>
      <w:r w:rsidRPr="009A5B59">
        <w:rPr>
          <w:rFonts w:ascii="Times New Roman" w:eastAsia="Times New Roman" w:hAnsi="Times New Roman" w:cs="Times New Roman"/>
          <w:i/>
          <w:iCs/>
          <w:sz w:val="24"/>
          <w:szCs w:val="24"/>
        </w:rPr>
        <w:t>Pathol</w:t>
      </w:r>
      <w:proofErr w:type="spellEnd"/>
      <w:r w:rsidRPr="009A5B59">
        <w:rPr>
          <w:rFonts w:ascii="Times New Roman" w:eastAsia="Times New Roman" w:hAnsi="Times New Roman" w:cs="Times New Roman"/>
          <w:sz w:val="24"/>
          <w:szCs w:val="24"/>
        </w:rPr>
        <w:t xml:space="preserve"> </w:t>
      </w:r>
      <w:proofErr w:type="gramStart"/>
      <w:r w:rsidRPr="009A5B59">
        <w:rPr>
          <w:rFonts w:ascii="Times New Roman" w:eastAsia="Times New Roman" w:hAnsi="Times New Roman" w:cs="Times New Roman"/>
          <w:sz w:val="24"/>
          <w:szCs w:val="24"/>
        </w:rPr>
        <w:t>2011;</w:t>
      </w:r>
      <w:proofErr w:type="gramEnd"/>
      <w:r w:rsidRPr="009A5B59">
        <w:rPr>
          <w:rFonts w:ascii="Times New Roman" w:eastAsia="Times New Roman" w:hAnsi="Times New Roman" w:cs="Times New Roman"/>
          <w:sz w:val="24"/>
          <w:szCs w:val="24"/>
        </w:rPr>
        <w:t>21(6):63344.</w:t>
      </w:r>
    </w:p>
    <w:p w14:paraId="63CE004F" w14:textId="77777777" w:rsidR="009A5B59" w:rsidRPr="009A5B59" w:rsidRDefault="009A5B59" w:rsidP="009A5B59">
      <w:pPr>
        <w:pStyle w:val="Paragraphedeliste"/>
        <w:numPr>
          <w:ilvl w:val="0"/>
          <w:numId w:val="2"/>
        </w:numPr>
        <w:suppressAutoHyphens/>
        <w:spacing w:after="0" w:line="240" w:lineRule="auto"/>
        <w:jc w:val="both"/>
        <w:textDirection w:val="btLr"/>
        <w:textAlignment w:val="top"/>
        <w:outlineLvl w:val="0"/>
        <w:rPr>
          <w:rFonts w:ascii="Times New Roman" w:hAnsi="Times New Roman" w:cs="Times New Roman"/>
          <w:sz w:val="24"/>
          <w:szCs w:val="24"/>
        </w:rPr>
      </w:pPr>
      <w:r w:rsidRPr="009A5B59">
        <w:rPr>
          <w:rFonts w:ascii="Times New Roman" w:hAnsi="Times New Roman" w:cs="Times New Roman"/>
          <w:sz w:val="24"/>
          <w:szCs w:val="24"/>
        </w:rPr>
        <w:t xml:space="preserve">Louis DN, </w:t>
      </w:r>
      <w:proofErr w:type="spellStart"/>
      <w:r w:rsidRPr="009A5B59">
        <w:rPr>
          <w:rFonts w:ascii="Times New Roman" w:hAnsi="Times New Roman" w:cs="Times New Roman"/>
          <w:sz w:val="24"/>
          <w:szCs w:val="24"/>
        </w:rPr>
        <w:t>Ohgaki</w:t>
      </w:r>
      <w:proofErr w:type="spellEnd"/>
      <w:r w:rsidRPr="009A5B59">
        <w:rPr>
          <w:rFonts w:ascii="Times New Roman" w:hAnsi="Times New Roman" w:cs="Times New Roman"/>
          <w:sz w:val="24"/>
          <w:szCs w:val="24"/>
        </w:rPr>
        <w:t xml:space="preserve"> H, </w:t>
      </w:r>
      <w:proofErr w:type="spellStart"/>
      <w:r w:rsidRPr="009A5B59">
        <w:rPr>
          <w:rFonts w:ascii="Times New Roman" w:hAnsi="Times New Roman" w:cs="Times New Roman"/>
          <w:sz w:val="24"/>
          <w:szCs w:val="24"/>
        </w:rPr>
        <w:t>Wiestler</w:t>
      </w:r>
      <w:proofErr w:type="spellEnd"/>
      <w:r w:rsidRPr="009A5B59">
        <w:rPr>
          <w:rFonts w:ascii="Times New Roman" w:hAnsi="Times New Roman" w:cs="Times New Roman"/>
          <w:sz w:val="24"/>
          <w:szCs w:val="24"/>
        </w:rPr>
        <w:t xml:space="preserve"> OD, </w:t>
      </w:r>
      <w:proofErr w:type="spellStart"/>
      <w:r w:rsidRPr="009A5B59">
        <w:rPr>
          <w:rFonts w:ascii="Times New Roman" w:hAnsi="Times New Roman" w:cs="Times New Roman"/>
          <w:sz w:val="24"/>
          <w:szCs w:val="24"/>
        </w:rPr>
        <w:t>Cavenee</w:t>
      </w:r>
      <w:proofErr w:type="spellEnd"/>
      <w:r w:rsidRPr="009A5B59">
        <w:rPr>
          <w:rFonts w:ascii="Times New Roman" w:hAnsi="Times New Roman" w:cs="Times New Roman"/>
          <w:sz w:val="24"/>
          <w:szCs w:val="24"/>
        </w:rPr>
        <w:t xml:space="preserve"> WK. WHO Classification of </w:t>
      </w:r>
      <w:proofErr w:type="spellStart"/>
      <w:r w:rsidRPr="009A5B59">
        <w:rPr>
          <w:rFonts w:ascii="Times New Roman" w:hAnsi="Times New Roman" w:cs="Times New Roman"/>
          <w:sz w:val="24"/>
          <w:szCs w:val="24"/>
        </w:rPr>
        <w:t>Tumours</w:t>
      </w:r>
      <w:proofErr w:type="spellEnd"/>
      <w:r w:rsidRPr="009A5B59">
        <w:rPr>
          <w:rFonts w:ascii="Times New Roman" w:hAnsi="Times New Roman" w:cs="Times New Roman"/>
          <w:sz w:val="24"/>
          <w:szCs w:val="24"/>
        </w:rPr>
        <w:t xml:space="preserve"> of the Central </w:t>
      </w:r>
      <w:proofErr w:type="spellStart"/>
      <w:r w:rsidRPr="009A5B59">
        <w:rPr>
          <w:rFonts w:ascii="Times New Roman" w:hAnsi="Times New Roman" w:cs="Times New Roman"/>
          <w:sz w:val="24"/>
          <w:szCs w:val="24"/>
        </w:rPr>
        <w:t>Nervous</w:t>
      </w:r>
      <w:proofErr w:type="spellEnd"/>
      <w:r w:rsidRPr="009A5B59">
        <w:rPr>
          <w:rFonts w:ascii="Times New Roman" w:hAnsi="Times New Roman" w:cs="Times New Roman"/>
          <w:sz w:val="24"/>
          <w:szCs w:val="24"/>
        </w:rPr>
        <w:t xml:space="preserve"> System. 4th </w:t>
      </w:r>
      <w:proofErr w:type="spellStart"/>
      <w:r w:rsidRPr="009A5B59">
        <w:rPr>
          <w:rFonts w:ascii="Times New Roman" w:hAnsi="Times New Roman" w:cs="Times New Roman"/>
          <w:sz w:val="24"/>
          <w:szCs w:val="24"/>
        </w:rPr>
        <w:t>ed</w:t>
      </w:r>
      <w:proofErr w:type="spellEnd"/>
      <w:r w:rsidRPr="009A5B59">
        <w:rPr>
          <w:rFonts w:ascii="Times New Roman" w:hAnsi="Times New Roman" w:cs="Times New Roman"/>
          <w:sz w:val="24"/>
          <w:szCs w:val="24"/>
        </w:rPr>
        <w:t>. Lyon : IARC ; 2007.</w:t>
      </w:r>
    </w:p>
    <w:p w14:paraId="70EEC5AA" w14:textId="77777777" w:rsidR="009A5B59" w:rsidRPr="009A5B59" w:rsidRDefault="009A5B59" w:rsidP="009A5B59">
      <w:pPr>
        <w:pStyle w:val="Paragraphedeliste"/>
        <w:numPr>
          <w:ilvl w:val="0"/>
          <w:numId w:val="2"/>
        </w:numPr>
        <w:suppressAutoHyphens/>
        <w:spacing w:after="0" w:line="240" w:lineRule="auto"/>
        <w:jc w:val="both"/>
        <w:textDirection w:val="btLr"/>
        <w:textAlignment w:val="top"/>
        <w:outlineLvl w:val="0"/>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highlight w:val="white"/>
        </w:rPr>
        <w:t>Yang M, Guo W, Yang C, Tang J, Huang Q, Feng S, et al. (2017) </w:t>
      </w:r>
      <w:hyperlink r:id="rId12">
        <w:r w:rsidRPr="009A5B59">
          <w:rPr>
            <w:rFonts w:ascii="Times New Roman" w:eastAsia="Times New Roman" w:hAnsi="Times New Roman" w:cs="Times New Roman"/>
            <w:sz w:val="24"/>
            <w:szCs w:val="24"/>
          </w:rPr>
          <w:t xml:space="preserve">Mobile phone use and </w:t>
        </w:r>
        <w:proofErr w:type="spellStart"/>
        <w:r w:rsidRPr="009A5B59">
          <w:rPr>
            <w:rFonts w:ascii="Times New Roman" w:eastAsia="Times New Roman" w:hAnsi="Times New Roman" w:cs="Times New Roman"/>
            <w:sz w:val="24"/>
            <w:szCs w:val="24"/>
          </w:rPr>
          <w:t>glioma</w:t>
        </w:r>
        <w:proofErr w:type="spellEnd"/>
        <w:r w:rsidRPr="009A5B59">
          <w:rPr>
            <w:rFonts w:ascii="Times New Roman" w:eastAsia="Times New Roman" w:hAnsi="Times New Roman" w:cs="Times New Roman"/>
            <w:sz w:val="24"/>
            <w:szCs w:val="24"/>
          </w:rPr>
          <w:t xml:space="preserve"> </w:t>
        </w:r>
        <w:proofErr w:type="spellStart"/>
        <w:proofErr w:type="gramStart"/>
        <w:r w:rsidRPr="009A5B59">
          <w:rPr>
            <w:rFonts w:ascii="Times New Roman" w:eastAsia="Times New Roman" w:hAnsi="Times New Roman" w:cs="Times New Roman"/>
            <w:sz w:val="24"/>
            <w:szCs w:val="24"/>
          </w:rPr>
          <w:t>risk</w:t>
        </w:r>
        <w:proofErr w:type="spellEnd"/>
        <w:r w:rsidRPr="009A5B59">
          <w:rPr>
            <w:rFonts w:ascii="Times New Roman" w:eastAsia="Times New Roman" w:hAnsi="Times New Roman" w:cs="Times New Roman"/>
            <w:sz w:val="24"/>
            <w:szCs w:val="24"/>
          </w:rPr>
          <w:t>:</w:t>
        </w:r>
        <w:proofErr w:type="gramEnd"/>
        <w:r w:rsidRPr="009A5B59">
          <w:rPr>
            <w:rFonts w:ascii="Times New Roman" w:eastAsia="Times New Roman" w:hAnsi="Times New Roman" w:cs="Times New Roman"/>
            <w:sz w:val="24"/>
            <w:szCs w:val="24"/>
          </w:rPr>
          <w:t xml:space="preserve"> A </w:t>
        </w:r>
        <w:proofErr w:type="spellStart"/>
        <w:r w:rsidRPr="009A5B59">
          <w:rPr>
            <w:rFonts w:ascii="Times New Roman" w:eastAsia="Times New Roman" w:hAnsi="Times New Roman" w:cs="Times New Roman"/>
            <w:sz w:val="24"/>
            <w:szCs w:val="24"/>
          </w:rPr>
          <w:t>systematic</w:t>
        </w:r>
        <w:proofErr w:type="spellEnd"/>
        <w:r w:rsidRPr="009A5B59">
          <w:rPr>
            <w:rFonts w:ascii="Times New Roman" w:eastAsia="Times New Roman" w:hAnsi="Times New Roman" w:cs="Times New Roman"/>
            <w:sz w:val="24"/>
            <w:szCs w:val="24"/>
          </w:rPr>
          <w:t xml:space="preserve"> </w:t>
        </w:r>
        <w:proofErr w:type="spellStart"/>
        <w:r w:rsidRPr="009A5B59">
          <w:rPr>
            <w:rFonts w:ascii="Times New Roman" w:eastAsia="Times New Roman" w:hAnsi="Times New Roman" w:cs="Times New Roman"/>
            <w:sz w:val="24"/>
            <w:szCs w:val="24"/>
          </w:rPr>
          <w:t>review</w:t>
        </w:r>
        <w:proofErr w:type="spellEnd"/>
        <w:r w:rsidRPr="009A5B59">
          <w:rPr>
            <w:rFonts w:ascii="Times New Roman" w:eastAsia="Times New Roman" w:hAnsi="Times New Roman" w:cs="Times New Roman"/>
            <w:sz w:val="24"/>
            <w:szCs w:val="24"/>
          </w:rPr>
          <w:t xml:space="preserve"> and </w:t>
        </w:r>
        <w:proofErr w:type="spellStart"/>
        <w:r w:rsidRPr="009A5B59">
          <w:rPr>
            <w:rFonts w:ascii="Times New Roman" w:eastAsia="Times New Roman" w:hAnsi="Times New Roman" w:cs="Times New Roman"/>
            <w:sz w:val="24"/>
            <w:szCs w:val="24"/>
          </w:rPr>
          <w:t>meta-analysis</w:t>
        </w:r>
        <w:proofErr w:type="spellEnd"/>
        <w:r w:rsidRPr="009A5B59">
          <w:rPr>
            <w:rFonts w:ascii="Times New Roman" w:eastAsia="Times New Roman" w:hAnsi="Times New Roman" w:cs="Times New Roman"/>
            <w:sz w:val="24"/>
            <w:szCs w:val="24"/>
          </w:rPr>
          <w:t>.</w:t>
        </w:r>
      </w:hyperlink>
      <w:r w:rsidRPr="009A5B59">
        <w:rPr>
          <w:rFonts w:ascii="Times New Roman" w:eastAsia="Times New Roman" w:hAnsi="Times New Roman" w:cs="Times New Roman"/>
          <w:sz w:val="24"/>
          <w:szCs w:val="24"/>
          <w:highlight w:val="white"/>
        </w:rPr>
        <w:t> </w:t>
      </w:r>
      <w:proofErr w:type="spellStart"/>
      <w:r w:rsidRPr="009A5B59">
        <w:rPr>
          <w:rFonts w:ascii="Times New Roman" w:eastAsia="Times New Roman" w:hAnsi="Times New Roman" w:cs="Times New Roman"/>
          <w:sz w:val="24"/>
          <w:szCs w:val="24"/>
          <w:highlight w:val="white"/>
        </w:rPr>
        <w:t>PLoS</w:t>
      </w:r>
      <w:proofErr w:type="spellEnd"/>
      <w:r w:rsidRPr="009A5B59">
        <w:rPr>
          <w:rFonts w:ascii="Times New Roman" w:eastAsia="Times New Roman" w:hAnsi="Times New Roman" w:cs="Times New Roman"/>
          <w:sz w:val="24"/>
          <w:szCs w:val="24"/>
          <w:highlight w:val="white"/>
        </w:rPr>
        <w:t xml:space="preserve"> ONE 12(5): e0175136, 4 mai 2017</w:t>
      </w:r>
      <w:r w:rsidRPr="009A5B59">
        <w:rPr>
          <w:rFonts w:ascii="Times New Roman" w:eastAsia="Times New Roman" w:hAnsi="Times New Roman" w:cs="Times New Roman"/>
          <w:sz w:val="24"/>
          <w:szCs w:val="24"/>
        </w:rPr>
        <w:t>.</w:t>
      </w:r>
    </w:p>
    <w:p w14:paraId="13220B56" w14:textId="77777777" w:rsidR="009A5B59" w:rsidRPr="009A5B59" w:rsidRDefault="009A5B59" w:rsidP="009A5B59">
      <w:pPr>
        <w:pStyle w:val="Paragraphedeliste"/>
        <w:numPr>
          <w:ilvl w:val="0"/>
          <w:numId w:val="2"/>
        </w:numPr>
        <w:suppressAutoHyphens/>
        <w:spacing w:after="0" w:line="240" w:lineRule="auto"/>
        <w:jc w:val="both"/>
        <w:textDirection w:val="btLr"/>
        <w:textAlignment w:val="top"/>
        <w:outlineLvl w:val="0"/>
        <w:rPr>
          <w:rFonts w:ascii="Times New Roman" w:eastAsia="Times New Roman" w:hAnsi="Times New Roman" w:cs="Times New Roman"/>
          <w:sz w:val="24"/>
          <w:szCs w:val="24"/>
        </w:rPr>
      </w:pPr>
      <w:r w:rsidRPr="009A5B59">
        <w:rPr>
          <w:rFonts w:ascii="Times New Roman" w:eastAsia="Times New Roman" w:hAnsi="Times New Roman" w:cs="Times New Roman"/>
          <w:sz w:val="24"/>
          <w:szCs w:val="24"/>
          <w:highlight w:val="white"/>
        </w:rPr>
        <w:t xml:space="preserve">Pearce MS, </w:t>
      </w:r>
      <w:proofErr w:type="spellStart"/>
      <w:r w:rsidRPr="009A5B59">
        <w:rPr>
          <w:rFonts w:ascii="Times New Roman" w:eastAsia="Times New Roman" w:hAnsi="Times New Roman" w:cs="Times New Roman"/>
          <w:sz w:val="24"/>
          <w:szCs w:val="24"/>
          <w:highlight w:val="white"/>
        </w:rPr>
        <w:t>Salotti</w:t>
      </w:r>
      <w:proofErr w:type="spellEnd"/>
      <w:r w:rsidRPr="009A5B59">
        <w:rPr>
          <w:rFonts w:ascii="Times New Roman" w:eastAsia="Times New Roman" w:hAnsi="Times New Roman" w:cs="Times New Roman"/>
          <w:sz w:val="24"/>
          <w:szCs w:val="24"/>
          <w:highlight w:val="white"/>
        </w:rPr>
        <w:t xml:space="preserve"> JA, Little MP et al. </w:t>
      </w:r>
      <w:hyperlink r:id="rId13">
        <w:r w:rsidRPr="009A5B59">
          <w:rPr>
            <w:rFonts w:ascii="Times New Roman" w:eastAsia="Times New Roman" w:hAnsi="Times New Roman" w:cs="Times New Roman"/>
            <w:sz w:val="24"/>
            <w:szCs w:val="24"/>
          </w:rPr>
          <w:t xml:space="preserve">Radiation </w:t>
        </w:r>
        <w:proofErr w:type="spellStart"/>
        <w:r w:rsidRPr="009A5B59">
          <w:rPr>
            <w:rFonts w:ascii="Times New Roman" w:eastAsia="Times New Roman" w:hAnsi="Times New Roman" w:cs="Times New Roman"/>
            <w:sz w:val="24"/>
            <w:szCs w:val="24"/>
          </w:rPr>
          <w:t>exposurefrom</w:t>
        </w:r>
        <w:proofErr w:type="spellEnd"/>
        <w:r w:rsidRPr="009A5B59">
          <w:rPr>
            <w:rFonts w:ascii="Times New Roman" w:eastAsia="Times New Roman" w:hAnsi="Times New Roman" w:cs="Times New Roman"/>
            <w:sz w:val="24"/>
            <w:szCs w:val="24"/>
          </w:rPr>
          <w:t xml:space="preserve"> CT scans in </w:t>
        </w:r>
        <w:proofErr w:type="spellStart"/>
        <w:r w:rsidRPr="009A5B59">
          <w:rPr>
            <w:rFonts w:ascii="Times New Roman" w:eastAsia="Times New Roman" w:hAnsi="Times New Roman" w:cs="Times New Roman"/>
            <w:sz w:val="24"/>
            <w:szCs w:val="24"/>
          </w:rPr>
          <w:t>childhood</w:t>
        </w:r>
        <w:proofErr w:type="spellEnd"/>
        <w:r w:rsidRPr="009A5B59">
          <w:rPr>
            <w:rFonts w:ascii="Times New Roman" w:eastAsia="Times New Roman" w:hAnsi="Times New Roman" w:cs="Times New Roman"/>
            <w:sz w:val="24"/>
            <w:szCs w:val="24"/>
          </w:rPr>
          <w:t xml:space="preserve"> and </w:t>
        </w:r>
        <w:proofErr w:type="spellStart"/>
        <w:r w:rsidRPr="009A5B59">
          <w:rPr>
            <w:rFonts w:ascii="Times New Roman" w:eastAsia="Times New Roman" w:hAnsi="Times New Roman" w:cs="Times New Roman"/>
            <w:sz w:val="24"/>
            <w:szCs w:val="24"/>
          </w:rPr>
          <w:t>subsequent</w:t>
        </w:r>
        <w:proofErr w:type="spellEnd"/>
        <w:r w:rsidRPr="009A5B59">
          <w:rPr>
            <w:rFonts w:ascii="Times New Roman" w:eastAsia="Times New Roman" w:hAnsi="Times New Roman" w:cs="Times New Roman"/>
            <w:sz w:val="24"/>
            <w:szCs w:val="24"/>
          </w:rPr>
          <w:t xml:space="preserve"> </w:t>
        </w:r>
        <w:proofErr w:type="spellStart"/>
        <w:r w:rsidRPr="009A5B59">
          <w:rPr>
            <w:rFonts w:ascii="Times New Roman" w:eastAsia="Times New Roman" w:hAnsi="Times New Roman" w:cs="Times New Roman"/>
            <w:sz w:val="24"/>
            <w:szCs w:val="24"/>
          </w:rPr>
          <w:t>risk</w:t>
        </w:r>
        <w:proofErr w:type="spellEnd"/>
        <w:r w:rsidRPr="009A5B59">
          <w:rPr>
            <w:rFonts w:ascii="Times New Roman" w:eastAsia="Times New Roman" w:hAnsi="Times New Roman" w:cs="Times New Roman"/>
            <w:sz w:val="24"/>
            <w:szCs w:val="24"/>
          </w:rPr>
          <w:t xml:space="preserve"> of </w:t>
        </w:r>
        <w:proofErr w:type="spellStart"/>
        <w:r w:rsidRPr="009A5B59">
          <w:rPr>
            <w:rFonts w:ascii="Times New Roman" w:eastAsia="Times New Roman" w:hAnsi="Times New Roman" w:cs="Times New Roman"/>
            <w:sz w:val="24"/>
            <w:szCs w:val="24"/>
          </w:rPr>
          <w:t>leukaemia</w:t>
        </w:r>
        <w:proofErr w:type="spellEnd"/>
        <w:r w:rsidRPr="009A5B59">
          <w:rPr>
            <w:rFonts w:ascii="Times New Roman" w:eastAsia="Times New Roman" w:hAnsi="Times New Roman" w:cs="Times New Roman"/>
            <w:sz w:val="24"/>
            <w:szCs w:val="24"/>
          </w:rPr>
          <w:t xml:space="preserve"> and </w:t>
        </w:r>
        <w:proofErr w:type="spellStart"/>
        <w:r w:rsidRPr="009A5B59">
          <w:rPr>
            <w:rFonts w:ascii="Times New Roman" w:eastAsia="Times New Roman" w:hAnsi="Times New Roman" w:cs="Times New Roman"/>
            <w:sz w:val="24"/>
            <w:szCs w:val="24"/>
          </w:rPr>
          <w:t>brain</w:t>
        </w:r>
        <w:proofErr w:type="spellEnd"/>
        <w:r w:rsidRPr="009A5B59">
          <w:rPr>
            <w:rFonts w:ascii="Times New Roman" w:eastAsia="Times New Roman" w:hAnsi="Times New Roman" w:cs="Times New Roman"/>
            <w:sz w:val="24"/>
            <w:szCs w:val="24"/>
          </w:rPr>
          <w:t xml:space="preserve"> </w:t>
        </w:r>
        <w:proofErr w:type="spellStart"/>
        <w:proofErr w:type="gramStart"/>
        <w:r w:rsidRPr="009A5B59">
          <w:rPr>
            <w:rFonts w:ascii="Times New Roman" w:eastAsia="Times New Roman" w:hAnsi="Times New Roman" w:cs="Times New Roman"/>
            <w:sz w:val="24"/>
            <w:szCs w:val="24"/>
          </w:rPr>
          <w:t>tumours</w:t>
        </w:r>
        <w:proofErr w:type="spellEnd"/>
        <w:r w:rsidRPr="009A5B59">
          <w:rPr>
            <w:rFonts w:ascii="Times New Roman" w:eastAsia="Times New Roman" w:hAnsi="Times New Roman" w:cs="Times New Roman"/>
            <w:sz w:val="24"/>
            <w:szCs w:val="24"/>
          </w:rPr>
          <w:t>:</w:t>
        </w:r>
        <w:proofErr w:type="gramEnd"/>
        <w:r w:rsidRPr="009A5B59">
          <w:rPr>
            <w:rFonts w:ascii="Times New Roman" w:eastAsia="Times New Roman" w:hAnsi="Times New Roman" w:cs="Times New Roman"/>
            <w:sz w:val="24"/>
            <w:szCs w:val="24"/>
          </w:rPr>
          <w:t xml:space="preserve"> </w:t>
        </w:r>
        <w:proofErr w:type="spellStart"/>
        <w:r w:rsidRPr="009A5B59">
          <w:rPr>
            <w:rFonts w:ascii="Times New Roman" w:eastAsia="Times New Roman" w:hAnsi="Times New Roman" w:cs="Times New Roman"/>
            <w:sz w:val="24"/>
            <w:szCs w:val="24"/>
          </w:rPr>
          <w:t>a</w:t>
        </w:r>
        <w:proofErr w:type="spellEnd"/>
        <w:r w:rsidRPr="009A5B59">
          <w:rPr>
            <w:rFonts w:ascii="Times New Roman" w:eastAsia="Times New Roman" w:hAnsi="Times New Roman" w:cs="Times New Roman"/>
            <w:sz w:val="24"/>
            <w:szCs w:val="24"/>
          </w:rPr>
          <w:t xml:space="preserve"> </w:t>
        </w:r>
        <w:proofErr w:type="spellStart"/>
        <w:r w:rsidRPr="009A5B59">
          <w:rPr>
            <w:rFonts w:ascii="Times New Roman" w:eastAsia="Times New Roman" w:hAnsi="Times New Roman" w:cs="Times New Roman"/>
            <w:sz w:val="24"/>
            <w:szCs w:val="24"/>
          </w:rPr>
          <w:t>retrospective</w:t>
        </w:r>
        <w:proofErr w:type="spellEnd"/>
        <w:r w:rsidRPr="009A5B59">
          <w:rPr>
            <w:rFonts w:ascii="Times New Roman" w:eastAsia="Times New Roman" w:hAnsi="Times New Roman" w:cs="Times New Roman"/>
            <w:sz w:val="24"/>
            <w:szCs w:val="24"/>
          </w:rPr>
          <w:t xml:space="preserve"> </w:t>
        </w:r>
        <w:proofErr w:type="spellStart"/>
        <w:r w:rsidRPr="009A5B59">
          <w:rPr>
            <w:rFonts w:ascii="Times New Roman" w:eastAsia="Times New Roman" w:hAnsi="Times New Roman" w:cs="Times New Roman"/>
            <w:sz w:val="24"/>
            <w:szCs w:val="24"/>
          </w:rPr>
          <w:t>cohort</w:t>
        </w:r>
        <w:proofErr w:type="spellEnd"/>
        <w:r w:rsidRPr="009A5B59">
          <w:rPr>
            <w:rFonts w:ascii="Times New Roman" w:eastAsia="Times New Roman" w:hAnsi="Times New Roman" w:cs="Times New Roman"/>
            <w:sz w:val="24"/>
            <w:szCs w:val="24"/>
          </w:rPr>
          <w:t xml:space="preserve"> </w:t>
        </w:r>
        <w:proofErr w:type="spellStart"/>
        <w:r w:rsidRPr="009A5B59">
          <w:rPr>
            <w:rFonts w:ascii="Times New Roman" w:eastAsia="Times New Roman" w:hAnsi="Times New Roman" w:cs="Times New Roman"/>
            <w:sz w:val="24"/>
            <w:szCs w:val="24"/>
          </w:rPr>
          <w:t>study</w:t>
        </w:r>
        <w:proofErr w:type="spellEnd"/>
      </w:hyperlink>
      <w:r w:rsidRPr="009A5B59">
        <w:rPr>
          <w:rFonts w:ascii="Times New Roman" w:eastAsia="Times New Roman" w:hAnsi="Times New Roman" w:cs="Times New Roman"/>
          <w:sz w:val="24"/>
          <w:szCs w:val="24"/>
          <w:highlight w:val="white"/>
        </w:rPr>
        <w:t xml:space="preserve">, </w:t>
      </w:r>
      <w:r w:rsidRPr="009A5B59">
        <w:rPr>
          <w:rFonts w:ascii="Times New Roman" w:eastAsia="Times New Roman" w:hAnsi="Times New Roman" w:cs="Times New Roman"/>
          <w:i/>
          <w:iCs/>
          <w:sz w:val="24"/>
          <w:szCs w:val="24"/>
          <w:highlight w:val="white"/>
        </w:rPr>
        <w:t>Lancet</w:t>
      </w:r>
      <w:r w:rsidRPr="009A5B59">
        <w:rPr>
          <w:rFonts w:ascii="Times New Roman" w:eastAsia="Times New Roman" w:hAnsi="Times New Roman" w:cs="Times New Roman"/>
          <w:sz w:val="24"/>
          <w:szCs w:val="24"/>
          <w:highlight w:val="white"/>
        </w:rPr>
        <w:t>, 2012;380:499-505</w:t>
      </w:r>
      <w:r w:rsidRPr="009A5B59">
        <w:rPr>
          <w:rFonts w:ascii="Times New Roman" w:eastAsia="Times New Roman" w:hAnsi="Times New Roman" w:cs="Times New Roman"/>
          <w:sz w:val="24"/>
          <w:szCs w:val="24"/>
        </w:rPr>
        <w:t>.</w:t>
      </w:r>
    </w:p>
    <w:p w14:paraId="1C19B065" w14:textId="77777777" w:rsidR="009A5B59" w:rsidRPr="009A5B59" w:rsidRDefault="009A5B59" w:rsidP="009A5B59">
      <w:pPr>
        <w:pStyle w:val="Paragraphedeliste"/>
        <w:numPr>
          <w:ilvl w:val="0"/>
          <w:numId w:val="2"/>
        </w:numPr>
        <w:suppressAutoHyphens/>
        <w:spacing w:after="0" w:line="240" w:lineRule="auto"/>
        <w:jc w:val="both"/>
        <w:textDirection w:val="btLr"/>
        <w:textAlignment w:val="top"/>
        <w:outlineLvl w:val="0"/>
        <w:rPr>
          <w:rFonts w:ascii="Times New Roman" w:eastAsia="Times New Roman" w:hAnsi="Times New Roman" w:cs="Times New Roman"/>
          <w:sz w:val="24"/>
          <w:szCs w:val="24"/>
        </w:rPr>
      </w:pPr>
      <w:proofErr w:type="spellStart"/>
      <w:r w:rsidRPr="009A5B59">
        <w:rPr>
          <w:rFonts w:ascii="Times New Roman" w:eastAsia="Times New Roman" w:hAnsi="Times New Roman" w:cs="Times New Roman"/>
          <w:sz w:val="24"/>
          <w:szCs w:val="24"/>
          <w:highlight w:val="white"/>
        </w:rPr>
        <w:lastRenderedPageBreak/>
        <w:t>Wrensch</w:t>
      </w:r>
      <w:proofErr w:type="spellEnd"/>
      <w:r w:rsidRPr="009A5B59">
        <w:rPr>
          <w:rFonts w:ascii="Times New Roman" w:eastAsia="Times New Roman" w:hAnsi="Times New Roman" w:cs="Times New Roman"/>
          <w:sz w:val="24"/>
          <w:szCs w:val="24"/>
          <w:highlight w:val="white"/>
        </w:rPr>
        <w:t xml:space="preserve"> M, Jenkins RB, Chang JS </w:t>
      </w:r>
      <w:r w:rsidRPr="009A5B59">
        <w:rPr>
          <w:rFonts w:ascii="Times New Roman" w:eastAsia="Times New Roman" w:hAnsi="Times New Roman" w:cs="Times New Roman"/>
          <w:i/>
          <w:sz w:val="24"/>
          <w:szCs w:val="24"/>
          <w:highlight w:val="white"/>
        </w:rPr>
        <w:t>et al.</w:t>
      </w:r>
      <w:r w:rsidRPr="009A5B59">
        <w:rPr>
          <w:rFonts w:ascii="Times New Roman" w:eastAsia="Times New Roman" w:hAnsi="Times New Roman" w:cs="Times New Roman"/>
          <w:sz w:val="24"/>
          <w:szCs w:val="24"/>
          <w:highlight w:val="white"/>
        </w:rPr>
        <w:t> </w:t>
      </w:r>
      <w:hyperlink r:id="rId14">
        <w:r w:rsidRPr="009A5B59">
          <w:rPr>
            <w:rFonts w:ascii="Times New Roman" w:eastAsia="Times New Roman" w:hAnsi="Times New Roman" w:cs="Times New Roman"/>
            <w:sz w:val="24"/>
            <w:szCs w:val="24"/>
            <w:u w:val="single"/>
          </w:rPr>
          <w:t>« </w:t>
        </w:r>
      </w:hyperlink>
      <w:hyperlink r:id="rId15">
        <w:r w:rsidRPr="009A5B59">
          <w:rPr>
            <w:rFonts w:ascii="Times New Roman" w:eastAsia="Times New Roman" w:hAnsi="Times New Roman" w:cs="Times New Roman"/>
            <w:sz w:val="24"/>
            <w:szCs w:val="24"/>
          </w:rPr>
          <w:t xml:space="preserve">Variants in the CDKN2B and RTEL1 </w:t>
        </w:r>
        <w:proofErr w:type="spellStart"/>
        <w:r w:rsidRPr="009A5B59">
          <w:rPr>
            <w:rFonts w:ascii="Times New Roman" w:eastAsia="Times New Roman" w:hAnsi="Times New Roman" w:cs="Times New Roman"/>
            <w:sz w:val="24"/>
            <w:szCs w:val="24"/>
          </w:rPr>
          <w:t>regions</w:t>
        </w:r>
        <w:proofErr w:type="spellEnd"/>
        <w:r w:rsidRPr="009A5B59">
          <w:rPr>
            <w:rFonts w:ascii="Times New Roman" w:eastAsia="Times New Roman" w:hAnsi="Times New Roman" w:cs="Times New Roman"/>
            <w:sz w:val="24"/>
            <w:szCs w:val="24"/>
          </w:rPr>
          <w:t xml:space="preserve"> are </w:t>
        </w:r>
        <w:proofErr w:type="spellStart"/>
        <w:r w:rsidRPr="009A5B59">
          <w:rPr>
            <w:rFonts w:ascii="Times New Roman" w:eastAsia="Times New Roman" w:hAnsi="Times New Roman" w:cs="Times New Roman"/>
            <w:sz w:val="24"/>
            <w:szCs w:val="24"/>
          </w:rPr>
          <w:t>associated</w:t>
        </w:r>
        <w:proofErr w:type="spellEnd"/>
        <w:r w:rsidRPr="009A5B59">
          <w:rPr>
            <w:rFonts w:ascii="Times New Roman" w:eastAsia="Times New Roman" w:hAnsi="Times New Roman" w:cs="Times New Roman"/>
            <w:sz w:val="24"/>
            <w:szCs w:val="24"/>
          </w:rPr>
          <w:t xml:space="preserve"> </w:t>
        </w:r>
        <w:proofErr w:type="spellStart"/>
        <w:r w:rsidRPr="009A5B59">
          <w:rPr>
            <w:rFonts w:ascii="Times New Roman" w:eastAsia="Times New Roman" w:hAnsi="Times New Roman" w:cs="Times New Roman"/>
            <w:sz w:val="24"/>
            <w:szCs w:val="24"/>
          </w:rPr>
          <w:t>with</w:t>
        </w:r>
        <w:proofErr w:type="spellEnd"/>
        <w:r w:rsidRPr="009A5B59">
          <w:rPr>
            <w:rFonts w:ascii="Times New Roman" w:eastAsia="Times New Roman" w:hAnsi="Times New Roman" w:cs="Times New Roman"/>
            <w:sz w:val="24"/>
            <w:szCs w:val="24"/>
          </w:rPr>
          <w:t xml:space="preserve"> high-grade </w:t>
        </w:r>
        <w:proofErr w:type="spellStart"/>
        <w:r w:rsidRPr="009A5B59">
          <w:rPr>
            <w:rFonts w:ascii="Times New Roman" w:eastAsia="Times New Roman" w:hAnsi="Times New Roman" w:cs="Times New Roman"/>
            <w:sz w:val="24"/>
            <w:szCs w:val="24"/>
          </w:rPr>
          <w:t>glioma</w:t>
        </w:r>
        <w:proofErr w:type="spellEnd"/>
        <w:r w:rsidRPr="009A5B59">
          <w:rPr>
            <w:rFonts w:ascii="Times New Roman" w:eastAsia="Times New Roman" w:hAnsi="Times New Roman" w:cs="Times New Roman"/>
            <w:sz w:val="24"/>
            <w:szCs w:val="24"/>
          </w:rPr>
          <w:t xml:space="preserve"> </w:t>
        </w:r>
        <w:proofErr w:type="spellStart"/>
        <w:r w:rsidRPr="009A5B59">
          <w:rPr>
            <w:rFonts w:ascii="Times New Roman" w:eastAsia="Times New Roman" w:hAnsi="Times New Roman" w:cs="Times New Roman"/>
            <w:sz w:val="24"/>
            <w:szCs w:val="24"/>
          </w:rPr>
          <w:t>susceptibility</w:t>
        </w:r>
        <w:proofErr w:type="spellEnd"/>
      </w:hyperlink>
      <w:hyperlink r:id="rId16">
        <w:r w:rsidRPr="009A5B59">
          <w:rPr>
            <w:rFonts w:ascii="Times New Roman" w:eastAsia="Times New Roman" w:hAnsi="Times New Roman" w:cs="Times New Roman"/>
            <w:sz w:val="24"/>
            <w:szCs w:val="24"/>
            <w:u w:val="single"/>
          </w:rPr>
          <w:t> »</w:t>
        </w:r>
      </w:hyperlink>
      <w:r w:rsidRPr="009A5B59">
        <w:rPr>
          <w:rFonts w:ascii="Times New Roman" w:eastAsia="Times New Roman" w:hAnsi="Times New Roman" w:cs="Times New Roman"/>
          <w:i/>
          <w:sz w:val="24"/>
          <w:szCs w:val="24"/>
          <w:highlight w:val="white"/>
        </w:rPr>
        <w:t> Nat Genet.</w:t>
      </w:r>
      <w:r w:rsidRPr="009A5B59">
        <w:rPr>
          <w:rFonts w:ascii="Times New Roman" w:eastAsia="Times New Roman" w:hAnsi="Times New Roman" w:cs="Times New Roman"/>
          <w:sz w:val="24"/>
          <w:szCs w:val="24"/>
          <w:highlight w:val="white"/>
        </w:rPr>
        <w:t> </w:t>
      </w:r>
      <w:proofErr w:type="gramStart"/>
      <w:r w:rsidRPr="009A5B59">
        <w:rPr>
          <w:rFonts w:ascii="Times New Roman" w:eastAsia="Times New Roman" w:hAnsi="Times New Roman" w:cs="Times New Roman"/>
          <w:sz w:val="24"/>
          <w:szCs w:val="24"/>
          <w:highlight w:val="white"/>
        </w:rPr>
        <w:t>2009;</w:t>
      </w:r>
      <w:proofErr w:type="gramEnd"/>
      <w:r w:rsidRPr="009A5B59">
        <w:rPr>
          <w:rFonts w:ascii="Times New Roman" w:eastAsia="Times New Roman" w:hAnsi="Times New Roman" w:cs="Times New Roman"/>
          <w:sz w:val="24"/>
          <w:szCs w:val="24"/>
          <w:highlight w:val="white"/>
        </w:rPr>
        <w:t>41:905-8</w:t>
      </w:r>
      <w:r w:rsidRPr="009A5B59">
        <w:rPr>
          <w:rFonts w:ascii="Times New Roman" w:eastAsia="Times New Roman" w:hAnsi="Times New Roman" w:cs="Times New Roman"/>
          <w:sz w:val="24"/>
          <w:szCs w:val="24"/>
        </w:rPr>
        <w:t>.</w:t>
      </w:r>
    </w:p>
    <w:p w14:paraId="2090D77A" w14:textId="77777777" w:rsidR="009A5B59" w:rsidRPr="009A5B59" w:rsidRDefault="009A5B59" w:rsidP="009A5B59">
      <w:pPr>
        <w:pStyle w:val="Paragraphedeliste"/>
        <w:numPr>
          <w:ilvl w:val="0"/>
          <w:numId w:val="2"/>
        </w:numPr>
        <w:suppressAutoHyphens/>
        <w:spacing w:after="0" w:line="240" w:lineRule="auto"/>
        <w:jc w:val="both"/>
        <w:textDirection w:val="btLr"/>
        <w:textAlignment w:val="top"/>
        <w:outlineLvl w:val="0"/>
        <w:rPr>
          <w:rFonts w:ascii="Times New Roman" w:eastAsia="Times New Roman" w:hAnsi="Times New Roman" w:cs="Times New Roman"/>
          <w:sz w:val="24"/>
          <w:szCs w:val="24"/>
        </w:rPr>
      </w:pPr>
      <w:proofErr w:type="spellStart"/>
      <w:r w:rsidRPr="009A5B59">
        <w:rPr>
          <w:rFonts w:ascii="Times New Roman" w:eastAsia="Times New Roman" w:hAnsi="Times New Roman" w:cs="Times New Roman"/>
          <w:sz w:val="24"/>
          <w:szCs w:val="24"/>
          <w:highlight w:val="white"/>
        </w:rPr>
        <w:t>Shete</w:t>
      </w:r>
      <w:proofErr w:type="spellEnd"/>
      <w:r w:rsidRPr="009A5B59">
        <w:rPr>
          <w:rFonts w:ascii="Times New Roman" w:eastAsia="Times New Roman" w:hAnsi="Times New Roman" w:cs="Times New Roman"/>
          <w:sz w:val="24"/>
          <w:szCs w:val="24"/>
          <w:highlight w:val="white"/>
        </w:rPr>
        <w:t xml:space="preserve"> S, </w:t>
      </w:r>
      <w:proofErr w:type="spellStart"/>
      <w:r w:rsidRPr="009A5B59">
        <w:rPr>
          <w:rFonts w:ascii="Times New Roman" w:eastAsia="Times New Roman" w:hAnsi="Times New Roman" w:cs="Times New Roman"/>
          <w:sz w:val="24"/>
          <w:szCs w:val="24"/>
          <w:highlight w:val="white"/>
        </w:rPr>
        <w:t>Hosking</w:t>
      </w:r>
      <w:proofErr w:type="spellEnd"/>
      <w:r w:rsidRPr="009A5B59">
        <w:rPr>
          <w:rFonts w:ascii="Times New Roman" w:eastAsia="Times New Roman" w:hAnsi="Times New Roman" w:cs="Times New Roman"/>
          <w:sz w:val="24"/>
          <w:szCs w:val="24"/>
          <w:highlight w:val="white"/>
        </w:rPr>
        <w:t xml:space="preserve"> FJ, Robertson LB</w:t>
      </w:r>
      <w:r w:rsidRPr="009A5B59">
        <w:rPr>
          <w:rFonts w:ascii="Times New Roman" w:eastAsia="Times New Roman" w:hAnsi="Times New Roman" w:cs="Times New Roman"/>
          <w:i/>
          <w:sz w:val="24"/>
          <w:szCs w:val="24"/>
          <w:highlight w:val="white"/>
        </w:rPr>
        <w:t xml:space="preserve"> et al.</w:t>
      </w:r>
      <w:r w:rsidRPr="009A5B59">
        <w:rPr>
          <w:rFonts w:ascii="Times New Roman" w:eastAsia="Times New Roman" w:hAnsi="Times New Roman" w:cs="Times New Roman"/>
          <w:sz w:val="24"/>
          <w:szCs w:val="24"/>
          <w:highlight w:val="white"/>
        </w:rPr>
        <w:t>, « </w:t>
      </w:r>
      <w:proofErr w:type="spellStart"/>
      <w:r w:rsidRPr="009A5B59">
        <w:rPr>
          <w:rFonts w:ascii="Times New Roman" w:eastAsia="Times New Roman" w:hAnsi="Times New Roman" w:cs="Times New Roman"/>
          <w:i/>
          <w:sz w:val="24"/>
          <w:szCs w:val="24"/>
          <w:highlight w:val="white"/>
        </w:rPr>
        <w:t>Genome-wide</w:t>
      </w:r>
      <w:proofErr w:type="spellEnd"/>
      <w:r w:rsidRPr="009A5B59">
        <w:rPr>
          <w:rFonts w:ascii="Times New Roman" w:eastAsia="Times New Roman" w:hAnsi="Times New Roman" w:cs="Times New Roman"/>
          <w:i/>
          <w:sz w:val="24"/>
          <w:szCs w:val="24"/>
          <w:highlight w:val="white"/>
        </w:rPr>
        <w:t xml:space="preserve"> association </w:t>
      </w:r>
      <w:proofErr w:type="spellStart"/>
      <w:r w:rsidRPr="009A5B59">
        <w:rPr>
          <w:rFonts w:ascii="Times New Roman" w:eastAsia="Times New Roman" w:hAnsi="Times New Roman" w:cs="Times New Roman"/>
          <w:i/>
          <w:sz w:val="24"/>
          <w:szCs w:val="24"/>
          <w:highlight w:val="white"/>
        </w:rPr>
        <w:t>study</w:t>
      </w:r>
      <w:proofErr w:type="spellEnd"/>
      <w:r w:rsidRPr="009A5B59">
        <w:rPr>
          <w:rFonts w:ascii="Times New Roman" w:eastAsia="Times New Roman" w:hAnsi="Times New Roman" w:cs="Times New Roman"/>
          <w:i/>
          <w:sz w:val="24"/>
          <w:szCs w:val="24"/>
          <w:highlight w:val="white"/>
        </w:rPr>
        <w:t xml:space="preserve"> identifies five </w:t>
      </w:r>
      <w:proofErr w:type="spellStart"/>
      <w:r w:rsidRPr="009A5B59">
        <w:rPr>
          <w:rFonts w:ascii="Times New Roman" w:eastAsia="Times New Roman" w:hAnsi="Times New Roman" w:cs="Times New Roman"/>
          <w:i/>
          <w:sz w:val="24"/>
          <w:szCs w:val="24"/>
          <w:highlight w:val="white"/>
        </w:rPr>
        <w:t>susceptibility</w:t>
      </w:r>
      <w:proofErr w:type="spellEnd"/>
      <w:r w:rsidRPr="009A5B59">
        <w:rPr>
          <w:rFonts w:ascii="Times New Roman" w:eastAsia="Times New Roman" w:hAnsi="Times New Roman" w:cs="Times New Roman"/>
          <w:i/>
          <w:sz w:val="24"/>
          <w:szCs w:val="24"/>
          <w:highlight w:val="white"/>
        </w:rPr>
        <w:t xml:space="preserve"> </w:t>
      </w:r>
      <w:proofErr w:type="spellStart"/>
      <w:r w:rsidRPr="009A5B59">
        <w:rPr>
          <w:rFonts w:ascii="Times New Roman" w:eastAsia="Times New Roman" w:hAnsi="Times New Roman" w:cs="Times New Roman"/>
          <w:i/>
          <w:sz w:val="24"/>
          <w:szCs w:val="24"/>
          <w:highlight w:val="white"/>
        </w:rPr>
        <w:t>loci</w:t>
      </w:r>
      <w:proofErr w:type="spellEnd"/>
      <w:r w:rsidRPr="009A5B59">
        <w:rPr>
          <w:rFonts w:ascii="Times New Roman" w:eastAsia="Times New Roman" w:hAnsi="Times New Roman" w:cs="Times New Roman"/>
          <w:i/>
          <w:sz w:val="24"/>
          <w:szCs w:val="24"/>
          <w:highlight w:val="white"/>
        </w:rPr>
        <w:t xml:space="preserve"> for </w:t>
      </w:r>
      <w:proofErr w:type="spellStart"/>
      <w:r w:rsidRPr="009A5B59">
        <w:rPr>
          <w:rFonts w:ascii="Times New Roman" w:eastAsia="Times New Roman" w:hAnsi="Times New Roman" w:cs="Times New Roman"/>
          <w:i/>
          <w:sz w:val="24"/>
          <w:szCs w:val="24"/>
          <w:highlight w:val="white"/>
        </w:rPr>
        <w:t>glioma</w:t>
      </w:r>
      <w:proofErr w:type="spellEnd"/>
      <w:r w:rsidRPr="009A5B59">
        <w:rPr>
          <w:rFonts w:ascii="Times New Roman" w:eastAsia="Times New Roman" w:hAnsi="Times New Roman" w:cs="Times New Roman"/>
          <w:sz w:val="24"/>
          <w:szCs w:val="24"/>
          <w:highlight w:val="white"/>
        </w:rPr>
        <w:t> », </w:t>
      </w:r>
      <w:r w:rsidRPr="009A5B59">
        <w:rPr>
          <w:rFonts w:ascii="Times New Roman" w:eastAsia="Times New Roman" w:hAnsi="Times New Roman" w:cs="Times New Roman"/>
          <w:i/>
          <w:sz w:val="24"/>
          <w:szCs w:val="24"/>
          <w:highlight w:val="white"/>
        </w:rPr>
        <w:t>Nat Genet</w:t>
      </w:r>
      <w:r w:rsidRPr="009A5B59">
        <w:rPr>
          <w:rFonts w:ascii="Times New Roman" w:eastAsia="Times New Roman" w:hAnsi="Times New Roman" w:cs="Times New Roman"/>
          <w:sz w:val="24"/>
          <w:szCs w:val="24"/>
          <w:highlight w:val="white"/>
        </w:rPr>
        <w:t>, </w:t>
      </w:r>
      <w:proofErr w:type="gramStart"/>
      <w:r w:rsidRPr="009A5B59">
        <w:rPr>
          <w:rFonts w:ascii="Times New Roman" w:eastAsia="Times New Roman" w:hAnsi="Times New Roman" w:cs="Times New Roman"/>
          <w:sz w:val="24"/>
          <w:szCs w:val="24"/>
        </w:rPr>
        <w:t>2009;</w:t>
      </w:r>
      <w:proofErr w:type="gramEnd"/>
      <w:r w:rsidRPr="009A5B59">
        <w:rPr>
          <w:rFonts w:ascii="Times New Roman" w:eastAsia="Times New Roman" w:hAnsi="Times New Roman" w:cs="Times New Roman"/>
          <w:sz w:val="24"/>
          <w:szCs w:val="24"/>
        </w:rPr>
        <w:t>1</w:t>
      </w:r>
      <w:r w:rsidRPr="009A5B59">
        <w:rPr>
          <w:rFonts w:ascii="Times New Roman" w:eastAsia="Times New Roman" w:hAnsi="Times New Roman" w:cs="Times New Roman"/>
          <w:sz w:val="24"/>
          <w:szCs w:val="24"/>
          <w:highlight w:val="white"/>
        </w:rPr>
        <w:t>:3899-904</w:t>
      </w:r>
      <w:r w:rsidRPr="009A5B59">
        <w:rPr>
          <w:rFonts w:ascii="Times New Roman" w:eastAsia="Times New Roman" w:hAnsi="Times New Roman" w:cs="Times New Roman"/>
          <w:sz w:val="24"/>
          <w:szCs w:val="24"/>
        </w:rPr>
        <w:t>.</w:t>
      </w:r>
    </w:p>
    <w:p w14:paraId="6FA7336B" w14:textId="77777777" w:rsidR="009A5B59" w:rsidRPr="009A5B59" w:rsidRDefault="009A5B59" w:rsidP="009A5B59">
      <w:pPr>
        <w:pStyle w:val="Paragraphedeliste"/>
        <w:numPr>
          <w:ilvl w:val="0"/>
          <w:numId w:val="2"/>
        </w:numPr>
        <w:suppressAutoHyphens/>
        <w:spacing w:after="0" w:line="240" w:lineRule="auto"/>
        <w:jc w:val="both"/>
        <w:textDirection w:val="btLr"/>
        <w:textAlignment w:val="top"/>
        <w:outlineLvl w:val="0"/>
        <w:rPr>
          <w:rFonts w:ascii="Times New Roman" w:hAnsi="Times New Roman" w:cs="Times New Roman"/>
          <w:sz w:val="24"/>
          <w:szCs w:val="24"/>
        </w:rPr>
      </w:pPr>
      <w:proofErr w:type="spellStart"/>
      <w:r w:rsidRPr="009A5B59">
        <w:rPr>
          <w:rFonts w:ascii="Times New Roman" w:hAnsi="Times New Roman" w:cs="Times New Roman"/>
          <w:sz w:val="24"/>
          <w:szCs w:val="24"/>
        </w:rPr>
        <w:t>Ostrom</w:t>
      </w:r>
      <w:proofErr w:type="spellEnd"/>
      <w:r w:rsidRPr="009A5B59">
        <w:rPr>
          <w:rFonts w:ascii="Times New Roman" w:hAnsi="Times New Roman" w:cs="Times New Roman"/>
          <w:sz w:val="24"/>
          <w:szCs w:val="24"/>
        </w:rPr>
        <w:t xml:space="preserve"> QT, </w:t>
      </w:r>
      <w:proofErr w:type="spellStart"/>
      <w:r w:rsidRPr="009A5B59">
        <w:rPr>
          <w:rFonts w:ascii="Times New Roman" w:hAnsi="Times New Roman" w:cs="Times New Roman"/>
          <w:sz w:val="24"/>
          <w:szCs w:val="24"/>
        </w:rPr>
        <w:t>Gittleman</w:t>
      </w:r>
      <w:proofErr w:type="spellEnd"/>
      <w:r w:rsidRPr="009A5B59">
        <w:rPr>
          <w:rFonts w:ascii="Times New Roman" w:hAnsi="Times New Roman" w:cs="Times New Roman"/>
          <w:sz w:val="24"/>
          <w:szCs w:val="24"/>
        </w:rPr>
        <w:t xml:space="preserve"> H, Liao P, et al. CBTRUS </w:t>
      </w:r>
      <w:proofErr w:type="spellStart"/>
      <w:r w:rsidRPr="009A5B59">
        <w:rPr>
          <w:rFonts w:ascii="Times New Roman" w:hAnsi="Times New Roman" w:cs="Times New Roman"/>
          <w:sz w:val="24"/>
          <w:szCs w:val="24"/>
        </w:rPr>
        <w:t>statistical</w:t>
      </w:r>
      <w:proofErr w:type="spellEnd"/>
      <w:r w:rsidRPr="009A5B59">
        <w:rPr>
          <w:rFonts w:ascii="Times New Roman" w:hAnsi="Times New Roman" w:cs="Times New Roman"/>
          <w:sz w:val="24"/>
          <w:szCs w:val="24"/>
        </w:rPr>
        <w:t xml:space="preserve"> </w:t>
      </w:r>
      <w:proofErr w:type="gramStart"/>
      <w:r w:rsidRPr="009A5B59">
        <w:rPr>
          <w:rFonts w:ascii="Times New Roman" w:hAnsi="Times New Roman" w:cs="Times New Roman"/>
          <w:sz w:val="24"/>
          <w:szCs w:val="24"/>
        </w:rPr>
        <w:t>report:</w:t>
      </w:r>
      <w:proofErr w:type="gramEnd"/>
      <w:r w:rsidRPr="009A5B59">
        <w:rPr>
          <w:rFonts w:ascii="Times New Roman" w:hAnsi="Times New Roman" w:cs="Times New Roman"/>
          <w:sz w:val="24"/>
          <w:szCs w:val="24"/>
        </w:rPr>
        <w:t xml:space="preserve"> </w:t>
      </w:r>
      <w:proofErr w:type="spellStart"/>
      <w:r w:rsidRPr="009A5B59">
        <w:rPr>
          <w:rFonts w:ascii="Times New Roman" w:hAnsi="Times New Roman" w:cs="Times New Roman"/>
          <w:sz w:val="24"/>
          <w:szCs w:val="24"/>
        </w:rPr>
        <w:t>Primary</w:t>
      </w:r>
      <w:proofErr w:type="spellEnd"/>
      <w:r w:rsidRPr="009A5B59">
        <w:rPr>
          <w:rFonts w:ascii="Times New Roman" w:hAnsi="Times New Roman" w:cs="Times New Roman"/>
          <w:sz w:val="24"/>
          <w:szCs w:val="24"/>
        </w:rPr>
        <w:t xml:space="preserve"> </w:t>
      </w:r>
      <w:proofErr w:type="spellStart"/>
      <w:r w:rsidRPr="009A5B59">
        <w:rPr>
          <w:rFonts w:ascii="Times New Roman" w:hAnsi="Times New Roman" w:cs="Times New Roman"/>
          <w:sz w:val="24"/>
          <w:szCs w:val="24"/>
        </w:rPr>
        <w:t>brain</w:t>
      </w:r>
      <w:proofErr w:type="spellEnd"/>
      <w:r w:rsidRPr="009A5B59">
        <w:rPr>
          <w:rFonts w:ascii="Times New Roman" w:hAnsi="Times New Roman" w:cs="Times New Roman"/>
          <w:sz w:val="24"/>
          <w:szCs w:val="24"/>
        </w:rPr>
        <w:t xml:space="preserve"> and </w:t>
      </w:r>
      <w:proofErr w:type="spellStart"/>
      <w:r w:rsidRPr="009A5B59">
        <w:rPr>
          <w:rFonts w:ascii="Times New Roman" w:hAnsi="Times New Roman" w:cs="Times New Roman"/>
          <w:sz w:val="24"/>
          <w:szCs w:val="24"/>
        </w:rPr>
        <w:t>other</w:t>
      </w:r>
      <w:proofErr w:type="spellEnd"/>
      <w:r w:rsidRPr="009A5B59">
        <w:rPr>
          <w:rFonts w:ascii="Times New Roman" w:hAnsi="Times New Roman" w:cs="Times New Roman"/>
          <w:sz w:val="24"/>
          <w:szCs w:val="24"/>
        </w:rPr>
        <w:t xml:space="preserve"> central </w:t>
      </w:r>
      <w:proofErr w:type="spellStart"/>
      <w:r w:rsidRPr="009A5B59">
        <w:rPr>
          <w:rFonts w:ascii="Times New Roman" w:hAnsi="Times New Roman" w:cs="Times New Roman"/>
          <w:sz w:val="24"/>
          <w:szCs w:val="24"/>
        </w:rPr>
        <w:t>nervous</w:t>
      </w:r>
      <w:proofErr w:type="spellEnd"/>
      <w:r w:rsidRPr="009A5B59">
        <w:rPr>
          <w:rFonts w:ascii="Times New Roman" w:hAnsi="Times New Roman" w:cs="Times New Roman"/>
          <w:sz w:val="24"/>
          <w:szCs w:val="24"/>
        </w:rPr>
        <w:t xml:space="preserve"> system </w:t>
      </w:r>
      <w:proofErr w:type="spellStart"/>
      <w:r w:rsidRPr="009A5B59">
        <w:rPr>
          <w:rFonts w:ascii="Times New Roman" w:hAnsi="Times New Roman" w:cs="Times New Roman"/>
          <w:sz w:val="24"/>
          <w:szCs w:val="24"/>
        </w:rPr>
        <w:t>tumors</w:t>
      </w:r>
      <w:proofErr w:type="spellEnd"/>
      <w:r w:rsidRPr="009A5B59">
        <w:rPr>
          <w:rFonts w:ascii="Times New Roman" w:hAnsi="Times New Roman" w:cs="Times New Roman"/>
          <w:sz w:val="24"/>
          <w:szCs w:val="24"/>
        </w:rPr>
        <w:t xml:space="preserve"> </w:t>
      </w:r>
      <w:proofErr w:type="spellStart"/>
      <w:r w:rsidRPr="009A5B59">
        <w:rPr>
          <w:rFonts w:ascii="Times New Roman" w:hAnsi="Times New Roman" w:cs="Times New Roman"/>
          <w:sz w:val="24"/>
          <w:szCs w:val="24"/>
        </w:rPr>
        <w:t>diagnosed</w:t>
      </w:r>
      <w:proofErr w:type="spellEnd"/>
      <w:r w:rsidRPr="009A5B59">
        <w:rPr>
          <w:rFonts w:ascii="Times New Roman" w:hAnsi="Times New Roman" w:cs="Times New Roman"/>
          <w:sz w:val="24"/>
          <w:szCs w:val="24"/>
        </w:rPr>
        <w:t xml:space="preserve"> in the United States. </w:t>
      </w:r>
      <w:r w:rsidRPr="009A5B59">
        <w:rPr>
          <w:rFonts w:ascii="Times New Roman" w:hAnsi="Times New Roman" w:cs="Times New Roman"/>
          <w:i/>
          <w:iCs/>
          <w:sz w:val="24"/>
          <w:szCs w:val="24"/>
        </w:rPr>
        <w:t xml:space="preserve">Neuro </w:t>
      </w:r>
      <w:proofErr w:type="spellStart"/>
      <w:r w:rsidRPr="009A5B59">
        <w:rPr>
          <w:rFonts w:ascii="Times New Roman" w:hAnsi="Times New Roman" w:cs="Times New Roman"/>
          <w:i/>
          <w:iCs/>
          <w:sz w:val="24"/>
          <w:szCs w:val="24"/>
        </w:rPr>
        <w:t>Oncol</w:t>
      </w:r>
      <w:proofErr w:type="spellEnd"/>
      <w:r w:rsidRPr="009A5B59">
        <w:rPr>
          <w:rFonts w:ascii="Times New Roman" w:hAnsi="Times New Roman" w:cs="Times New Roman"/>
          <w:sz w:val="24"/>
          <w:szCs w:val="24"/>
        </w:rPr>
        <w:t xml:space="preserve">. </w:t>
      </w:r>
      <w:proofErr w:type="gramStart"/>
      <w:r w:rsidRPr="009A5B59">
        <w:rPr>
          <w:rFonts w:ascii="Times New Roman" w:hAnsi="Times New Roman" w:cs="Times New Roman"/>
          <w:sz w:val="24"/>
          <w:szCs w:val="24"/>
        </w:rPr>
        <w:t>2014;</w:t>
      </w:r>
      <w:proofErr w:type="gramEnd"/>
      <w:r w:rsidRPr="009A5B59">
        <w:rPr>
          <w:rFonts w:ascii="Times New Roman" w:hAnsi="Times New Roman" w:cs="Times New Roman"/>
          <w:sz w:val="24"/>
          <w:szCs w:val="24"/>
        </w:rPr>
        <w:t>16(</w:t>
      </w:r>
      <w:proofErr w:type="spellStart"/>
      <w:r w:rsidRPr="009A5B59">
        <w:rPr>
          <w:rFonts w:ascii="Times New Roman" w:hAnsi="Times New Roman" w:cs="Times New Roman"/>
          <w:sz w:val="24"/>
          <w:szCs w:val="24"/>
        </w:rPr>
        <w:t>Suppl</w:t>
      </w:r>
      <w:proofErr w:type="spellEnd"/>
      <w:r w:rsidRPr="009A5B59">
        <w:rPr>
          <w:rFonts w:ascii="Times New Roman" w:hAnsi="Times New Roman" w:cs="Times New Roman"/>
          <w:sz w:val="24"/>
          <w:szCs w:val="24"/>
        </w:rPr>
        <w:t xml:space="preserve"> 4):1–63.</w:t>
      </w:r>
    </w:p>
    <w:p w14:paraId="7C6C7060" w14:textId="77777777" w:rsidR="009A5B59" w:rsidRPr="009A5B59" w:rsidRDefault="009A5B59" w:rsidP="009A5B59">
      <w:pPr>
        <w:pStyle w:val="Paragraphedeliste"/>
        <w:numPr>
          <w:ilvl w:val="0"/>
          <w:numId w:val="2"/>
        </w:numPr>
        <w:suppressAutoHyphens/>
        <w:spacing w:after="0" w:line="240" w:lineRule="auto"/>
        <w:jc w:val="both"/>
        <w:textDirection w:val="btLr"/>
        <w:textAlignment w:val="top"/>
        <w:outlineLvl w:val="0"/>
        <w:rPr>
          <w:rFonts w:ascii="Times New Roman" w:hAnsi="Times New Roman" w:cs="Times New Roman"/>
          <w:sz w:val="24"/>
          <w:szCs w:val="24"/>
        </w:rPr>
      </w:pPr>
      <w:proofErr w:type="spellStart"/>
      <w:r w:rsidRPr="009A5B59">
        <w:rPr>
          <w:rFonts w:ascii="Times New Roman" w:hAnsi="Times New Roman" w:cs="Times New Roman"/>
          <w:sz w:val="24"/>
          <w:szCs w:val="24"/>
        </w:rPr>
        <w:t>Ostrom</w:t>
      </w:r>
      <w:proofErr w:type="spellEnd"/>
      <w:r w:rsidRPr="009A5B59">
        <w:rPr>
          <w:rFonts w:ascii="Times New Roman" w:hAnsi="Times New Roman" w:cs="Times New Roman"/>
          <w:sz w:val="24"/>
          <w:szCs w:val="24"/>
        </w:rPr>
        <w:t xml:space="preserve"> QT, </w:t>
      </w:r>
      <w:proofErr w:type="spellStart"/>
      <w:r w:rsidRPr="009A5B59">
        <w:rPr>
          <w:rFonts w:ascii="Times New Roman" w:hAnsi="Times New Roman" w:cs="Times New Roman"/>
          <w:sz w:val="24"/>
          <w:szCs w:val="24"/>
        </w:rPr>
        <w:t>Patil</w:t>
      </w:r>
      <w:proofErr w:type="spellEnd"/>
      <w:r w:rsidRPr="009A5B59">
        <w:rPr>
          <w:rFonts w:ascii="Times New Roman" w:hAnsi="Times New Roman" w:cs="Times New Roman"/>
          <w:sz w:val="24"/>
          <w:szCs w:val="24"/>
        </w:rPr>
        <w:t xml:space="preserve"> N, </w:t>
      </w:r>
      <w:proofErr w:type="spellStart"/>
      <w:r w:rsidRPr="009A5B59">
        <w:rPr>
          <w:rFonts w:ascii="Times New Roman" w:hAnsi="Times New Roman" w:cs="Times New Roman"/>
          <w:sz w:val="24"/>
          <w:szCs w:val="24"/>
        </w:rPr>
        <w:t>Cioffi</w:t>
      </w:r>
      <w:proofErr w:type="spellEnd"/>
      <w:r w:rsidRPr="009A5B59">
        <w:rPr>
          <w:rFonts w:ascii="Times New Roman" w:hAnsi="Times New Roman" w:cs="Times New Roman"/>
          <w:sz w:val="24"/>
          <w:szCs w:val="24"/>
        </w:rPr>
        <w:t xml:space="preserve"> G, et al. CBTRUS </w:t>
      </w:r>
      <w:proofErr w:type="spellStart"/>
      <w:r w:rsidRPr="009A5B59">
        <w:rPr>
          <w:rFonts w:ascii="Times New Roman" w:hAnsi="Times New Roman" w:cs="Times New Roman"/>
          <w:sz w:val="24"/>
          <w:szCs w:val="24"/>
        </w:rPr>
        <w:t>statistical</w:t>
      </w:r>
      <w:proofErr w:type="spellEnd"/>
      <w:r w:rsidRPr="009A5B59">
        <w:rPr>
          <w:rFonts w:ascii="Times New Roman" w:hAnsi="Times New Roman" w:cs="Times New Roman"/>
          <w:sz w:val="24"/>
          <w:szCs w:val="24"/>
        </w:rPr>
        <w:t xml:space="preserve"> </w:t>
      </w:r>
      <w:proofErr w:type="gramStart"/>
      <w:r w:rsidRPr="009A5B59">
        <w:rPr>
          <w:rFonts w:ascii="Times New Roman" w:hAnsi="Times New Roman" w:cs="Times New Roman"/>
          <w:sz w:val="24"/>
          <w:szCs w:val="24"/>
        </w:rPr>
        <w:t>report:</w:t>
      </w:r>
      <w:proofErr w:type="gramEnd"/>
      <w:r w:rsidRPr="009A5B59">
        <w:rPr>
          <w:rFonts w:ascii="Times New Roman" w:hAnsi="Times New Roman" w:cs="Times New Roman"/>
          <w:sz w:val="24"/>
          <w:szCs w:val="24"/>
        </w:rPr>
        <w:t xml:space="preserve"> </w:t>
      </w:r>
      <w:proofErr w:type="spellStart"/>
      <w:r w:rsidRPr="009A5B59">
        <w:rPr>
          <w:rFonts w:ascii="Times New Roman" w:hAnsi="Times New Roman" w:cs="Times New Roman"/>
          <w:sz w:val="24"/>
          <w:szCs w:val="24"/>
        </w:rPr>
        <w:t>Primary</w:t>
      </w:r>
      <w:proofErr w:type="spellEnd"/>
      <w:r w:rsidRPr="009A5B59">
        <w:rPr>
          <w:rFonts w:ascii="Times New Roman" w:hAnsi="Times New Roman" w:cs="Times New Roman"/>
          <w:sz w:val="24"/>
          <w:szCs w:val="24"/>
        </w:rPr>
        <w:t xml:space="preserve"> </w:t>
      </w:r>
      <w:proofErr w:type="spellStart"/>
      <w:r w:rsidRPr="009A5B59">
        <w:rPr>
          <w:rFonts w:ascii="Times New Roman" w:hAnsi="Times New Roman" w:cs="Times New Roman"/>
          <w:sz w:val="24"/>
          <w:szCs w:val="24"/>
        </w:rPr>
        <w:t>brain</w:t>
      </w:r>
      <w:proofErr w:type="spellEnd"/>
      <w:r w:rsidRPr="009A5B59">
        <w:rPr>
          <w:rFonts w:ascii="Times New Roman" w:hAnsi="Times New Roman" w:cs="Times New Roman"/>
          <w:sz w:val="24"/>
          <w:szCs w:val="24"/>
        </w:rPr>
        <w:t xml:space="preserve"> and </w:t>
      </w:r>
      <w:proofErr w:type="spellStart"/>
      <w:r w:rsidRPr="009A5B59">
        <w:rPr>
          <w:rFonts w:ascii="Times New Roman" w:hAnsi="Times New Roman" w:cs="Times New Roman"/>
          <w:sz w:val="24"/>
          <w:szCs w:val="24"/>
        </w:rPr>
        <w:t>other</w:t>
      </w:r>
      <w:proofErr w:type="spellEnd"/>
      <w:r w:rsidRPr="009A5B59">
        <w:rPr>
          <w:rFonts w:ascii="Times New Roman" w:hAnsi="Times New Roman" w:cs="Times New Roman"/>
          <w:sz w:val="24"/>
          <w:szCs w:val="24"/>
        </w:rPr>
        <w:t xml:space="preserve"> central </w:t>
      </w:r>
      <w:proofErr w:type="spellStart"/>
      <w:r w:rsidRPr="009A5B59">
        <w:rPr>
          <w:rFonts w:ascii="Times New Roman" w:hAnsi="Times New Roman" w:cs="Times New Roman"/>
          <w:sz w:val="24"/>
          <w:szCs w:val="24"/>
        </w:rPr>
        <w:t>nervous</w:t>
      </w:r>
      <w:proofErr w:type="spellEnd"/>
      <w:r w:rsidRPr="009A5B59">
        <w:rPr>
          <w:rFonts w:ascii="Times New Roman" w:hAnsi="Times New Roman" w:cs="Times New Roman"/>
          <w:sz w:val="24"/>
          <w:szCs w:val="24"/>
        </w:rPr>
        <w:t xml:space="preserve"> system </w:t>
      </w:r>
      <w:proofErr w:type="spellStart"/>
      <w:r w:rsidRPr="009A5B59">
        <w:rPr>
          <w:rFonts w:ascii="Times New Roman" w:hAnsi="Times New Roman" w:cs="Times New Roman"/>
          <w:sz w:val="24"/>
          <w:szCs w:val="24"/>
        </w:rPr>
        <w:t>tumors</w:t>
      </w:r>
      <w:proofErr w:type="spellEnd"/>
      <w:r w:rsidRPr="009A5B59">
        <w:rPr>
          <w:rFonts w:ascii="Times New Roman" w:hAnsi="Times New Roman" w:cs="Times New Roman"/>
          <w:sz w:val="24"/>
          <w:szCs w:val="24"/>
        </w:rPr>
        <w:t xml:space="preserve"> </w:t>
      </w:r>
      <w:proofErr w:type="spellStart"/>
      <w:r w:rsidRPr="009A5B59">
        <w:rPr>
          <w:rFonts w:ascii="Times New Roman" w:hAnsi="Times New Roman" w:cs="Times New Roman"/>
          <w:sz w:val="24"/>
          <w:szCs w:val="24"/>
        </w:rPr>
        <w:t>diagnosed</w:t>
      </w:r>
      <w:proofErr w:type="spellEnd"/>
      <w:r w:rsidRPr="009A5B59">
        <w:rPr>
          <w:rFonts w:ascii="Times New Roman" w:hAnsi="Times New Roman" w:cs="Times New Roman"/>
          <w:sz w:val="24"/>
          <w:szCs w:val="24"/>
        </w:rPr>
        <w:t xml:space="preserve"> in the United States </w:t>
      </w:r>
      <w:proofErr w:type="spellStart"/>
      <w:r w:rsidRPr="009A5B59">
        <w:rPr>
          <w:rFonts w:ascii="Times New Roman" w:hAnsi="Times New Roman" w:cs="Times New Roman"/>
          <w:sz w:val="24"/>
          <w:szCs w:val="24"/>
        </w:rPr>
        <w:t>in</w:t>
      </w:r>
      <w:proofErr w:type="spellEnd"/>
      <w:r w:rsidRPr="009A5B59">
        <w:rPr>
          <w:rFonts w:ascii="Times New Roman" w:hAnsi="Times New Roman" w:cs="Times New Roman"/>
          <w:sz w:val="24"/>
          <w:szCs w:val="24"/>
        </w:rPr>
        <w:t xml:space="preserve"> 2013–2017.</w:t>
      </w:r>
      <w:r w:rsidRPr="009A5B59">
        <w:rPr>
          <w:rFonts w:ascii="Times New Roman" w:hAnsi="Times New Roman" w:cs="Times New Roman"/>
          <w:sz w:val="24"/>
          <w:szCs w:val="24"/>
        </w:rPr>
        <w:br/>
      </w:r>
      <w:r w:rsidRPr="009A5B59">
        <w:rPr>
          <w:rFonts w:ascii="Times New Roman" w:hAnsi="Times New Roman" w:cs="Times New Roman"/>
          <w:i/>
          <w:iCs/>
          <w:sz w:val="24"/>
          <w:szCs w:val="24"/>
        </w:rPr>
        <w:t xml:space="preserve">Neuro </w:t>
      </w:r>
      <w:proofErr w:type="spellStart"/>
      <w:r w:rsidRPr="009A5B59">
        <w:rPr>
          <w:rFonts w:ascii="Times New Roman" w:hAnsi="Times New Roman" w:cs="Times New Roman"/>
          <w:i/>
          <w:iCs/>
          <w:sz w:val="24"/>
          <w:szCs w:val="24"/>
        </w:rPr>
        <w:t>Oncol</w:t>
      </w:r>
      <w:proofErr w:type="spellEnd"/>
      <w:r w:rsidRPr="009A5B59">
        <w:rPr>
          <w:rFonts w:ascii="Times New Roman" w:hAnsi="Times New Roman" w:cs="Times New Roman"/>
          <w:sz w:val="24"/>
          <w:szCs w:val="24"/>
        </w:rPr>
        <w:t xml:space="preserve">. </w:t>
      </w:r>
      <w:proofErr w:type="gramStart"/>
      <w:r w:rsidRPr="009A5B59">
        <w:rPr>
          <w:rFonts w:ascii="Times New Roman" w:hAnsi="Times New Roman" w:cs="Times New Roman"/>
          <w:sz w:val="24"/>
          <w:szCs w:val="24"/>
        </w:rPr>
        <w:t>2020;</w:t>
      </w:r>
      <w:proofErr w:type="gramEnd"/>
      <w:r w:rsidRPr="009A5B59">
        <w:rPr>
          <w:rFonts w:ascii="Times New Roman" w:hAnsi="Times New Roman" w:cs="Times New Roman"/>
          <w:sz w:val="24"/>
          <w:szCs w:val="24"/>
        </w:rPr>
        <w:t>22(</w:t>
      </w:r>
      <w:proofErr w:type="spellStart"/>
      <w:r w:rsidRPr="009A5B59">
        <w:rPr>
          <w:rFonts w:ascii="Times New Roman" w:hAnsi="Times New Roman" w:cs="Times New Roman"/>
          <w:sz w:val="24"/>
          <w:szCs w:val="24"/>
        </w:rPr>
        <w:t>Suppl</w:t>
      </w:r>
      <w:proofErr w:type="spellEnd"/>
      <w:r w:rsidRPr="009A5B59">
        <w:rPr>
          <w:rFonts w:ascii="Times New Roman" w:hAnsi="Times New Roman" w:cs="Times New Roman"/>
          <w:sz w:val="24"/>
          <w:szCs w:val="24"/>
        </w:rPr>
        <w:t xml:space="preserve"> 1):1–96.</w:t>
      </w:r>
    </w:p>
    <w:p w14:paraId="67201147" w14:textId="77777777" w:rsidR="009A5B59" w:rsidRPr="009A5B59" w:rsidRDefault="009A5B59" w:rsidP="009A5B59">
      <w:pPr>
        <w:pStyle w:val="Paragraphedeliste"/>
        <w:numPr>
          <w:ilvl w:val="0"/>
          <w:numId w:val="2"/>
        </w:numPr>
        <w:suppressAutoHyphens/>
        <w:spacing w:after="0" w:line="240" w:lineRule="auto"/>
        <w:jc w:val="both"/>
        <w:textDirection w:val="btLr"/>
        <w:textAlignment w:val="top"/>
        <w:outlineLvl w:val="0"/>
        <w:rPr>
          <w:rFonts w:ascii="Times New Roman" w:eastAsia="Times New Roman" w:hAnsi="Times New Roman" w:cs="Times New Roman"/>
          <w:sz w:val="24"/>
          <w:szCs w:val="24"/>
        </w:rPr>
      </w:pPr>
      <w:proofErr w:type="spellStart"/>
      <w:r w:rsidRPr="009A5B59">
        <w:rPr>
          <w:rFonts w:ascii="Times New Roman" w:hAnsi="Times New Roman" w:cs="Times New Roman"/>
          <w:sz w:val="24"/>
          <w:szCs w:val="24"/>
        </w:rPr>
        <w:t>Ohgaki</w:t>
      </w:r>
      <w:proofErr w:type="spellEnd"/>
      <w:r w:rsidRPr="009A5B59">
        <w:rPr>
          <w:rFonts w:ascii="Times New Roman" w:hAnsi="Times New Roman" w:cs="Times New Roman"/>
          <w:sz w:val="24"/>
          <w:szCs w:val="24"/>
        </w:rPr>
        <w:t xml:space="preserve"> H, </w:t>
      </w:r>
      <w:proofErr w:type="spellStart"/>
      <w:r w:rsidRPr="009A5B59">
        <w:rPr>
          <w:rFonts w:ascii="Times New Roman" w:hAnsi="Times New Roman" w:cs="Times New Roman"/>
          <w:sz w:val="24"/>
          <w:szCs w:val="24"/>
        </w:rPr>
        <w:t>Kleihues</w:t>
      </w:r>
      <w:proofErr w:type="spellEnd"/>
      <w:r w:rsidRPr="009A5B59">
        <w:rPr>
          <w:rFonts w:ascii="Times New Roman" w:hAnsi="Times New Roman" w:cs="Times New Roman"/>
          <w:sz w:val="24"/>
          <w:szCs w:val="24"/>
        </w:rPr>
        <w:t xml:space="preserve"> P. </w:t>
      </w:r>
      <w:proofErr w:type="spellStart"/>
      <w:r w:rsidRPr="009A5B59">
        <w:rPr>
          <w:rFonts w:ascii="Times New Roman" w:hAnsi="Times New Roman" w:cs="Times New Roman"/>
          <w:sz w:val="24"/>
          <w:szCs w:val="24"/>
        </w:rPr>
        <w:t>Epidemiology</w:t>
      </w:r>
      <w:proofErr w:type="spellEnd"/>
      <w:r w:rsidRPr="009A5B59">
        <w:rPr>
          <w:rFonts w:ascii="Times New Roman" w:hAnsi="Times New Roman" w:cs="Times New Roman"/>
          <w:sz w:val="24"/>
          <w:szCs w:val="24"/>
        </w:rPr>
        <w:t xml:space="preserve"> and </w:t>
      </w:r>
      <w:proofErr w:type="spellStart"/>
      <w:r w:rsidRPr="009A5B59">
        <w:rPr>
          <w:rFonts w:ascii="Times New Roman" w:hAnsi="Times New Roman" w:cs="Times New Roman"/>
          <w:sz w:val="24"/>
          <w:szCs w:val="24"/>
        </w:rPr>
        <w:t>etiology</w:t>
      </w:r>
      <w:proofErr w:type="spellEnd"/>
      <w:r w:rsidRPr="009A5B59">
        <w:rPr>
          <w:rFonts w:ascii="Times New Roman" w:hAnsi="Times New Roman" w:cs="Times New Roman"/>
          <w:sz w:val="24"/>
          <w:szCs w:val="24"/>
        </w:rPr>
        <w:t xml:space="preserve"> of </w:t>
      </w:r>
      <w:proofErr w:type="spellStart"/>
      <w:r w:rsidRPr="009A5B59">
        <w:rPr>
          <w:rFonts w:ascii="Times New Roman" w:hAnsi="Times New Roman" w:cs="Times New Roman"/>
          <w:sz w:val="24"/>
          <w:szCs w:val="24"/>
        </w:rPr>
        <w:t>gliomas</w:t>
      </w:r>
      <w:proofErr w:type="spellEnd"/>
      <w:r w:rsidRPr="009A5B59">
        <w:rPr>
          <w:rFonts w:ascii="Times New Roman" w:hAnsi="Times New Roman" w:cs="Times New Roman"/>
          <w:sz w:val="24"/>
          <w:szCs w:val="24"/>
        </w:rPr>
        <w:t xml:space="preserve">. </w:t>
      </w:r>
      <w:r w:rsidRPr="009A5B59">
        <w:rPr>
          <w:rFonts w:ascii="Times New Roman" w:hAnsi="Times New Roman" w:cs="Times New Roman"/>
          <w:i/>
          <w:iCs/>
          <w:sz w:val="24"/>
          <w:szCs w:val="24"/>
        </w:rPr>
        <w:t xml:space="preserve">Acta </w:t>
      </w:r>
      <w:proofErr w:type="spellStart"/>
      <w:r w:rsidRPr="009A5B59">
        <w:rPr>
          <w:rFonts w:ascii="Times New Roman" w:hAnsi="Times New Roman" w:cs="Times New Roman"/>
          <w:i/>
          <w:iCs/>
          <w:sz w:val="24"/>
          <w:szCs w:val="24"/>
        </w:rPr>
        <w:t>Neuropathol</w:t>
      </w:r>
      <w:proofErr w:type="spellEnd"/>
      <w:r w:rsidRPr="009A5B59">
        <w:rPr>
          <w:rFonts w:ascii="Times New Roman" w:hAnsi="Times New Roman" w:cs="Times New Roman"/>
          <w:sz w:val="24"/>
          <w:szCs w:val="24"/>
        </w:rPr>
        <w:t xml:space="preserve">. </w:t>
      </w:r>
      <w:proofErr w:type="gramStart"/>
      <w:r w:rsidRPr="009A5B59">
        <w:rPr>
          <w:rFonts w:ascii="Times New Roman" w:hAnsi="Times New Roman" w:cs="Times New Roman"/>
          <w:sz w:val="24"/>
          <w:szCs w:val="24"/>
        </w:rPr>
        <w:t>2005;</w:t>
      </w:r>
      <w:proofErr w:type="gramEnd"/>
      <w:r w:rsidRPr="009A5B59">
        <w:rPr>
          <w:rFonts w:ascii="Times New Roman" w:hAnsi="Times New Roman" w:cs="Times New Roman"/>
          <w:sz w:val="24"/>
          <w:szCs w:val="24"/>
        </w:rPr>
        <w:t>109(1):93–108.</w:t>
      </w:r>
    </w:p>
    <w:p w14:paraId="5443BB1E" w14:textId="77777777" w:rsidR="009A5B59" w:rsidRPr="009A5B59" w:rsidRDefault="009A5B59" w:rsidP="009A5B59">
      <w:pPr>
        <w:pStyle w:val="Paragraphedeliste"/>
        <w:numPr>
          <w:ilvl w:val="0"/>
          <w:numId w:val="2"/>
        </w:numPr>
        <w:suppressAutoHyphens/>
        <w:spacing w:after="0" w:line="240" w:lineRule="auto"/>
        <w:jc w:val="both"/>
        <w:textDirection w:val="btLr"/>
        <w:textAlignment w:val="top"/>
        <w:outlineLvl w:val="0"/>
        <w:rPr>
          <w:rFonts w:ascii="Times New Roman" w:eastAsia="Times New Roman" w:hAnsi="Times New Roman" w:cs="Times New Roman"/>
          <w:sz w:val="24"/>
          <w:szCs w:val="24"/>
        </w:rPr>
      </w:pPr>
      <w:proofErr w:type="spellStart"/>
      <w:r w:rsidRPr="009A5B59">
        <w:rPr>
          <w:rFonts w:ascii="Times New Roman" w:hAnsi="Times New Roman" w:cs="Times New Roman"/>
          <w:sz w:val="24"/>
          <w:szCs w:val="24"/>
        </w:rPr>
        <w:t>Adeloye</w:t>
      </w:r>
      <w:proofErr w:type="spellEnd"/>
      <w:r w:rsidRPr="009A5B59">
        <w:rPr>
          <w:rFonts w:ascii="Times New Roman" w:hAnsi="Times New Roman" w:cs="Times New Roman"/>
          <w:sz w:val="24"/>
          <w:szCs w:val="24"/>
        </w:rPr>
        <w:t xml:space="preserve"> A, </w:t>
      </w:r>
      <w:proofErr w:type="spellStart"/>
      <w:r w:rsidRPr="009A5B59">
        <w:rPr>
          <w:rFonts w:ascii="Times New Roman" w:hAnsi="Times New Roman" w:cs="Times New Roman"/>
          <w:sz w:val="24"/>
          <w:szCs w:val="24"/>
        </w:rPr>
        <w:t>Odeku</w:t>
      </w:r>
      <w:proofErr w:type="spellEnd"/>
      <w:r w:rsidRPr="009A5B59">
        <w:rPr>
          <w:rFonts w:ascii="Times New Roman" w:hAnsi="Times New Roman" w:cs="Times New Roman"/>
          <w:sz w:val="24"/>
          <w:szCs w:val="24"/>
        </w:rPr>
        <w:t xml:space="preserve"> EL. </w:t>
      </w:r>
      <w:proofErr w:type="spellStart"/>
      <w:r w:rsidRPr="009A5B59">
        <w:rPr>
          <w:rFonts w:ascii="Times New Roman" w:hAnsi="Times New Roman" w:cs="Times New Roman"/>
          <w:sz w:val="24"/>
          <w:szCs w:val="24"/>
        </w:rPr>
        <w:t>Primary</w:t>
      </w:r>
      <w:proofErr w:type="spellEnd"/>
      <w:r w:rsidRPr="009A5B59">
        <w:rPr>
          <w:rFonts w:ascii="Times New Roman" w:hAnsi="Times New Roman" w:cs="Times New Roman"/>
          <w:sz w:val="24"/>
          <w:szCs w:val="24"/>
        </w:rPr>
        <w:t xml:space="preserve"> </w:t>
      </w:r>
      <w:proofErr w:type="spellStart"/>
      <w:r w:rsidRPr="009A5B59">
        <w:rPr>
          <w:rFonts w:ascii="Times New Roman" w:hAnsi="Times New Roman" w:cs="Times New Roman"/>
          <w:sz w:val="24"/>
          <w:szCs w:val="24"/>
        </w:rPr>
        <w:t>intracranial</w:t>
      </w:r>
      <w:proofErr w:type="spellEnd"/>
      <w:r w:rsidRPr="009A5B59">
        <w:rPr>
          <w:rFonts w:ascii="Times New Roman" w:hAnsi="Times New Roman" w:cs="Times New Roman"/>
          <w:sz w:val="24"/>
          <w:szCs w:val="24"/>
        </w:rPr>
        <w:t xml:space="preserve"> </w:t>
      </w:r>
      <w:proofErr w:type="spellStart"/>
      <w:r w:rsidRPr="009A5B59">
        <w:rPr>
          <w:rFonts w:ascii="Times New Roman" w:hAnsi="Times New Roman" w:cs="Times New Roman"/>
          <w:sz w:val="24"/>
          <w:szCs w:val="24"/>
        </w:rPr>
        <w:t>tumors</w:t>
      </w:r>
      <w:proofErr w:type="spellEnd"/>
      <w:r w:rsidRPr="009A5B59">
        <w:rPr>
          <w:rFonts w:ascii="Times New Roman" w:hAnsi="Times New Roman" w:cs="Times New Roman"/>
          <w:sz w:val="24"/>
          <w:szCs w:val="24"/>
        </w:rPr>
        <w:t xml:space="preserve"> in </w:t>
      </w:r>
      <w:proofErr w:type="spellStart"/>
      <w:r w:rsidRPr="009A5B59">
        <w:rPr>
          <w:rFonts w:ascii="Times New Roman" w:hAnsi="Times New Roman" w:cs="Times New Roman"/>
          <w:sz w:val="24"/>
          <w:szCs w:val="24"/>
        </w:rPr>
        <w:t>Nigerians</w:t>
      </w:r>
      <w:proofErr w:type="spellEnd"/>
      <w:r w:rsidRPr="009A5B59">
        <w:rPr>
          <w:rFonts w:ascii="Times New Roman" w:hAnsi="Times New Roman" w:cs="Times New Roman"/>
          <w:sz w:val="24"/>
          <w:szCs w:val="24"/>
        </w:rPr>
        <w:t xml:space="preserve">. </w:t>
      </w:r>
      <w:proofErr w:type="spellStart"/>
      <w:r w:rsidRPr="009A5B59">
        <w:rPr>
          <w:rFonts w:ascii="Times New Roman" w:hAnsi="Times New Roman" w:cs="Times New Roman"/>
          <w:i/>
          <w:iCs/>
          <w:sz w:val="24"/>
          <w:szCs w:val="24"/>
        </w:rPr>
        <w:t>Afr</w:t>
      </w:r>
      <w:proofErr w:type="spellEnd"/>
      <w:r w:rsidRPr="009A5B59">
        <w:rPr>
          <w:rFonts w:ascii="Times New Roman" w:hAnsi="Times New Roman" w:cs="Times New Roman"/>
          <w:i/>
          <w:iCs/>
          <w:sz w:val="24"/>
          <w:szCs w:val="24"/>
        </w:rPr>
        <w:t xml:space="preserve"> J Med </w:t>
      </w:r>
      <w:proofErr w:type="spellStart"/>
      <w:r w:rsidRPr="009A5B59">
        <w:rPr>
          <w:rFonts w:ascii="Times New Roman" w:hAnsi="Times New Roman" w:cs="Times New Roman"/>
          <w:i/>
          <w:iCs/>
          <w:sz w:val="24"/>
          <w:szCs w:val="24"/>
        </w:rPr>
        <w:t>Med</w:t>
      </w:r>
      <w:proofErr w:type="spellEnd"/>
      <w:r w:rsidRPr="009A5B59">
        <w:rPr>
          <w:rFonts w:ascii="Times New Roman" w:hAnsi="Times New Roman" w:cs="Times New Roman"/>
          <w:i/>
          <w:iCs/>
          <w:sz w:val="24"/>
          <w:szCs w:val="24"/>
        </w:rPr>
        <w:t xml:space="preserve"> </w:t>
      </w:r>
      <w:proofErr w:type="spellStart"/>
      <w:r w:rsidRPr="009A5B59">
        <w:rPr>
          <w:rFonts w:ascii="Times New Roman" w:hAnsi="Times New Roman" w:cs="Times New Roman"/>
          <w:i/>
          <w:iCs/>
          <w:sz w:val="24"/>
          <w:szCs w:val="24"/>
        </w:rPr>
        <w:t>Sci</w:t>
      </w:r>
      <w:proofErr w:type="spellEnd"/>
      <w:r w:rsidRPr="009A5B59">
        <w:rPr>
          <w:rFonts w:ascii="Times New Roman" w:hAnsi="Times New Roman" w:cs="Times New Roman"/>
          <w:sz w:val="24"/>
          <w:szCs w:val="24"/>
        </w:rPr>
        <w:t xml:space="preserve">. </w:t>
      </w:r>
      <w:proofErr w:type="gramStart"/>
      <w:r w:rsidRPr="009A5B59">
        <w:rPr>
          <w:rFonts w:ascii="Times New Roman" w:hAnsi="Times New Roman" w:cs="Times New Roman"/>
          <w:sz w:val="24"/>
          <w:szCs w:val="24"/>
        </w:rPr>
        <w:t>1971;</w:t>
      </w:r>
      <w:proofErr w:type="gramEnd"/>
      <w:r w:rsidRPr="009A5B59">
        <w:rPr>
          <w:rFonts w:ascii="Times New Roman" w:hAnsi="Times New Roman" w:cs="Times New Roman"/>
          <w:sz w:val="24"/>
          <w:szCs w:val="24"/>
        </w:rPr>
        <w:t>2(2):83–90.</w:t>
      </w:r>
    </w:p>
    <w:p w14:paraId="456E3E12" w14:textId="77777777" w:rsidR="009A5B59" w:rsidRPr="009A5B59" w:rsidRDefault="009A5B59" w:rsidP="009A5B59">
      <w:pPr>
        <w:pStyle w:val="Paragraphedeliste"/>
        <w:numPr>
          <w:ilvl w:val="0"/>
          <w:numId w:val="2"/>
        </w:numPr>
        <w:suppressAutoHyphens/>
        <w:spacing w:after="0" w:line="240" w:lineRule="auto"/>
        <w:jc w:val="both"/>
        <w:textDirection w:val="btLr"/>
        <w:textAlignment w:val="top"/>
        <w:outlineLvl w:val="0"/>
        <w:rPr>
          <w:rFonts w:ascii="Times New Roman" w:eastAsia="Times New Roman" w:hAnsi="Times New Roman" w:cs="Times New Roman"/>
          <w:sz w:val="24"/>
          <w:szCs w:val="24"/>
        </w:rPr>
      </w:pPr>
      <w:proofErr w:type="spellStart"/>
      <w:r w:rsidRPr="009A5B59">
        <w:rPr>
          <w:rFonts w:ascii="Times New Roman" w:hAnsi="Times New Roman" w:cs="Times New Roman"/>
          <w:sz w:val="24"/>
          <w:szCs w:val="24"/>
        </w:rPr>
        <w:t>Parkin</w:t>
      </w:r>
      <w:proofErr w:type="spellEnd"/>
      <w:r w:rsidRPr="009A5B59">
        <w:rPr>
          <w:rFonts w:ascii="Times New Roman" w:hAnsi="Times New Roman" w:cs="Times New Roman"/>
          <w:sz w:val="24"/>
          <w:szCs w:val="24"/>
        </w:rPr>
        <w:t xml:space="preserve"> DM, </w:t>
      </w:r>
      <w:proofErr w:type="spellStart"/>
      <w:r w:rsidRPr="009A5B59">
        <w:rPr>
          <w:rFonts w:ascii="Times New Roman" w:hAnsi="Times New Roman" w:cs="Times New Roman"/>
          <w:sz w:val="24"/>
          <w:szCs w:val="24"/>
        </w:rPr>
        <w:t>Ferlay</w:t>
      </w:r>
      <w:proofErr w:type="spellEnd"/>
      <w:r w:rsidRPr="009A5B59">
        <w:rPr>
          <w:rFonts w:ascii="Times New Roman" w:hAnsi="Times New Roman" w:cs="Times New Roman"/>
          <w:sz w:val="24"/>
          <w:szCs w:val="24"/>
        </w:rPr>
        <w:t xml:space="preserve"> J, </w:t>
      </w:r>
      <w:proofErr w:type="spellStart"/>
      <w:r w:rsidRPr="009A5B59">
        <w:rPr>
          <w:rFonts w:ascii="Times New Roman" w:hAnsi="Times New Roman" w:cs="Times New Roman"/>
          <w:sz w:val="24"/>
          <w:szCs w:val="24"/>
        </w:rPr>
        <w:t>Jemal</w:t>
      </w:r>
      <w:proofErr w:type="spellEnd"/>
      <w:r w:rsidRPr="009A5B59">
        <w:rPr>
          <w:rFonts w:ascii="Times New Roman" w:hAnsi="Times New Roman" w:cs="Times New Roman"/>
          <w:sz w:val="24"/>
          <w:szCs w:val="24"/>
        </w:rPr>
        <w:t xml:space="preserve"> A. Cancer in </w:t>
      </w:r>
      <w:proofErr w:type="spellStart"/>
      <w:r w:rsidRPr="009A5B59">
        <w:rPr>
          <w:rFonts w:ascii="Times New Roman" w:hAnsi="Times New Roman" w:cs="Times New Roman"/>
          <w:sz w:val="24"/>
          <w:szCs w:val="24"/>
        </w:rPr>
        <w:t>sub-Saharan</w:t>
      </w:r>
      <w:proofErr w:type="spellEnd"/>
      <w:r w:rsidRPr="009A5B59">
        <w:rPr>
          <w:rFonts w:ascii="Times New Roman" w:hAnsi="Times New Roman" w:cs="Times New Roman"/>
          <w:sz w:val="24"/>
          <w:szCs w:val="24"/>
        </w:rPr>
        <w:t xml:space="preserve"> </w:t>
      </w:r>
      <w:proofErr w:type="spellStart"/>
      <w:r w:rsidRPr="009A5B59">
        <w:rPr>
          <w:rFonts w:ascii="Times New Roman" w:hAnsi="Times New Roman" w:cs="Times New Roman"/>
          <w:sz w:val="24"/>
          <w:szCs w:val="24"/>
        </w:rPr>
        <w:t>Africa</w:t>
      </w:r>
      <w:proofErr w:type="spellEnd"/>
      <w:r w:rsidRPr="009A5B59">
        <w:rPr>
          <w:rFonts w:ascii="Times New Roman" w:hAnsi="Times New Roman" w:cs="Times New Roman"/>
          <w:sz w:val="24"/>
          <w:szCs w:val="24"/>
        </w:rPr>
        <w:t xml:space="preserve">. </w:t>
      </w:r>
      <w:r w:rsidRPr="009A5B59">
        <w:rPr>
          <w:rFonts w:ascii="Times New Roman" w:hAnsi="Times New Roman" w:cs="Times New Roman"/>
          <w:i/>
          <w:iCs/>
          <w:sz w:val="24"/>
          <w:szCs w:val="24"/>
        </w:rPr>
        <w:t>CA Cancer J Clin</w:t>
      </w:r>
      <w:r w:rsidRPr="009A5B59">
        <w:rPr>
          <w:rFonts w:ascii="Times New Roman" w:hAnsi="Times New Roman" w:cs="Times New Roman"/>
          <w:sz w:val="24"/>
          <w:szCs w:val="24"/>
        </w:rPr>
        <w:t xml:space="preserve">. </w:t>
      </w:r>
      <w:proofErr w:type="gramStart"/>
      <w:r w:rsidRPr="009A5B59">
        <w:rPr>
          <w:rFonts w:ascii="Times New Roman" w:hAnsi="Times New Roman" w:cs="Times New Roman"/>
          <w:sz w:val="24"/>
          <w:szCs w:val="24"/>
        </w:rPr>
        <w:t>2014;</w:t>
      </w:r>
      <w:proofErr w:type="gramEnd"/>
      <w:r w:rsidRPr="009A5B59">
        <w:rPr>
          <w:rFonts w:ascii="Times New Roman" w:hAnsi="Times New Roman" w:cs="Times New Roman"/>
          <w:sz w:val="24"/>
          <w:szCs w:val="24"/>
        </w:rPr>
        <w:t>64(2):128–52.</w:t>
      </w:r>
    </w:p>
    <w:p w14:paraId="31502004" w14:textId="77777777" w:rsidR="009A5B59" w:rsidRPr="009A5B59" w:rsidRDefault="009A5B59" w:rsidP="009A5B59">
      <w:pPr>
        <w:pStyle w:val="Paragraphedeliste"/>
        <w:numPr>
          <w:ilvl w:val="0"/>
          <w:numId w:val="2"/>
        </w:numPr>
        <w:suppressAutoHyphens/>
        <w:spacing w:after="0" w:line="240" w:lineRule="auto"/>
        <w:jc w:val="both"/>
        <w:textDirection w:val="btLr"/>
        <w:textAlignment w:val="top"/>
        <w:outlineLvl w:val="0"/>
        <w:rPr>
          <w:rFonts w:ascii="Times New Roman" w:eastAsia="Times New Roman" w:hAnsi="Times New Roman" w:cs="Times New Roman"/>
          <w:sz w:val="24"/>
          <w:szCs w:val="24"/>
        </w:rPr>
      </w:pPr>
      <w:r w:rsidRPr="009A5B59">
        <w:rPr>
          <w:rFonts w:ascii="Times New Roman" w:hAnsi="Times New Roman" w:cs="Times New Roman"/>
          <w:sz w:val="24"/>
          <w:szCs w:val="24"/>
        </w:rPr>
        <w:t xml:space="preserve">Reni M, </w:t>
      </w:r>
      <w:proofErr w:type="spellStart"/>
      <w:r w:rsidRPr="009A5B59">
        <w:rPr>
          <w:rFonts w:ascii="Times New Roman" w:hAnsi="Times New Roman" w:cs="Times New Roman"/>
          <w:sz w:val="24"/>
          <w:szCs w:val="24"/>
        </w:rPr>
        <w:t>Mazza</w:t>
      </w:r>
      <w:proofErr w:type="spellEnd"/>
      <w:r w:rsidRPr="009A5B59">
        <w:rPr>
          <w:rFonts w:ascii="Times New Roman" w:hAnsi="Times New Roman" w:cs="Times New Roman"/>
          <w:sz w:val="24"/>
          <w:szCs w:val="24"/>
        </w:rPr>
        <w:t xml:space="preserve"> E, </w:t>
      </w:r>
      <w:proofErr w:type="spellStart"/>
      <w:r w:rsidRPr="009A5B59">
        <w:rPr>
          <w:rFonts w:ascii="Times New Roman" w:hAnsi="Times New Roman" w:cs="Times New Roman"/>
          <w:sz w:val="24"/>
          <w:szCs w:val="24"/>
        </w:rPr>
        <w:t>Zanon</w:t>
      </w:r>
      <w:proofErr w:type="spellEnd"/>
      <w:r w:rsidRPr="009A5B59">
        <w:rPr>
          <w:rFonts w:ascii="Times New Roman" w:hAnsi="Times New Roman" w:cs="Times New Roman"/>
          <w:sz w:val="24"/>
          <w:szCs w:val="24"/>
        </w:rPr>
        <w:t xml:space="preserve"> S, et al. Central </w:t>
      </w:r>
      <w:proofErr w:type="spellStart"/>
      <w:r w:rsidRPr="009A5B59">
        <w:rPr>
          <w:rFonts w:ascii="Times New Roman" w:hAnsi="Times New Roman" w:cs="Times New Roman"/>
          <w:sz w:val="24"/>
          <w:szCs w:val="24"/>
        </w:rPr>
        <w:t>nervous</w:t>
      </w:r>
      <w:proofErr w:type="spellEnd"/>
      <w:r w:rsidRPr="009A5B59">
        <w:rPr>
          <w:rFonts w:ascii="Times New Roman" w:hAnsi="Times New Roman" w:cs="Times New Roman"/>
          <w:sz w:val="24"/>
          <w:szCs w:val="24"/>
        </w:rPr>
        <w:t xml:space="preserve"> system </w:t>
      </w:r>
      <w:proofErr w:type="spellStart"/>
      <w:r w:rsidRPr="009A5B59">
        <w:rPr>
          <w:rFonts w:ascii="Times New Roman" w:hAnsi="Times New Roman" w:cs="Times New Roman"/>
          <w:sz w:val="24"/>
          <w:szCs w:val="24"/>
        </w:rPr>
        <w:t>gliomas</w:t>
      </w:r>
      <w:proofErr w:type="spellEnd"/>
      <w:r w:rsidRPr="009A5B59">
        <w:rPr>
          <w:rFonts w:ascii="Times New Roman" w:hAnsi="Times New Roman" w:cs="Times New Roman"/>
          <w:sz w:val="24"/>
          <w:szCs w:val="24"/>
        </w:rPr>
        <w:t xml:space="preserve">. </w:t>
      </w:r>
      <w:r w:rsidRPr="009A5B59">
        <w:rPr>
          <w:rFonts w:ascii="Times New Roman" w:hAnsi="Times New Roman" w:cs="Times New Roman"/>
          <w:i/>
          <w:iCs/>
          <w:sz w:val="24"/>
          <w:szCs w:val="24"/>
        </w:rPr>
        <w:t xml:space="preserve">Crit </w:t>
      </w:r>
      <w:proofErr w:type="spellStart"/>
      <w:r w:rsidRPr="009A5B59">
        <w:rPr>
          <w:rFonts w:ascii="Times New Roman" w:hAnsi="Times New Roman" w:cs="Times New Roman"/>
          <w:i/>
          <w:iCs/>
          <w:sz w:val="24"/>
          <w:szCs w:val="24"/>
        </w:rPr>
        <w:t>Rev</w:t>
      </w:r>
      <w:proofErr w:type="spellEnd"/>
      <w:r w:rsidRPr="009A5B59">
        <w:rPr>
          <w:rFonts w:ascii="Times New Roman" w:hAnsi="Times New Roman" w:cs="Times New Roman"/>
          <w:i/>
          <w:iCs/>
          <w:sz w:val="24"/>
          <w:szCs w:val="24"/>
        </w:rPr>
        <w:t xml:space="preserve"> </w:t>
      </w:r>
      <w:proofErr w:type="spellStart"/>
      <w:r w:rsidRPr="009A5B59">
        <w:rPr>
          <w:rFonts w:ascii="Times New Roman" w:hAnsi="Times New Roman" w:cs="Times New Roman"/>
          <w:i/>
          <w:iCs/>
          <w:sz w:val="24"/>
          <w:szCs w:val="24"/>
        </w:rPr>
        <w:t>Oncol</w:t>
      </w:r>
      <w:proofErr w:type="spellEnd"/>
      <w:r w:rsidRPr="009A5B59">
        <w:rPr>
          <w:rFonts w:ascii="Times New Roman" w:hAnsi="Times New Roman" w:cs="Times New Roman"/>
          <w:i/>
          <w:iCs/>
          <w:sz w:val="24"/>
          <w:szCs w:val="24"/>
        </w:rPr>
        <w:t xml:space="preserve"> </w:t>
      </w:r>
      <w:proofErr w:type="spellStart"/>
      <w:r w:rsidRPr="009A5B59">
        <w:rPr>
          <w:rFonts w:ascii="Times New Roman" w:hAnsi="Times New Roman" w:cs="Times New Roman"/>
          <w:i/>
          <w:iCs/>
          <w:sz w:val="24"/>
          <w:szCs w:val="24"/>
        </w:rPr>
        <w:t>Hematol</w:t>
      </w:r>
      <w:proofErr w:type="spellEnd"/>
      <w:r w:rsidRPr="009A5B59">
        <w:rPr>
          <w:rFonts w:ascii="Times New Roman" w:hAnsi="Times New Roman" w:cs="Times New Roman"/>
          <w:sz w:val="24"/>
          <w:szCs w:val="24"/>
        </w:rPr>
        <w:t xml:space="preserve">. </w:t>
      </w:r>
      <w:proofErr w:type="gramStart"/>
      <w:r w:rsidRPr="009A5B59">
        <w:rPr>
          <w:rFonts w:ascii="Times New Roman" w:hAnsi="Times New Roman" w:cs="Times New Roman"/>
          <w:sz w:val="24"/>
          <w:szCs w:val="24"/>
        </w:rPr>
        <w:t>2017;</w:t>
      </w:r>
      <w:proofErr w:type="gramEnd"/>
      <w:r w:rsidRPr="009A5B59">
        <w:rPr>
          <w:rFonts w:ascii="Times New Roman" w:hAnsi="Times New Roman" w:cs="Times New Roman"/>
          <w:sz w:val="24"/>
          <w:szCs w:val="24"/>
        </w:rPr>
        <w:t>113:213–34.</w:t>
      </w:r>
    </w:p>
    <w:p w14:paraId="69E90D5F" w14:textId="77777777" w:rsidR="009A5B59" w:rsidRPr="009A5B59" w:rsidRDefault="009A5B59" w:rsidP="009A5B59">
      <w:pPr>
        <w:pStyle w:val="Paragraphedeliste"/>
        <w:numPr>
          <w:ilvl w:val="0"/>
          <w:numId w:val="2"/>
        </w:numPr>
        <w:suppressAutoHyphens/>
        <w:spacing w:after="0" w:line="240" w:lineRule="auto"/>
        <w:jc w:val="both"/>
        <w:textDirection w:val="btLr"/>
        <w:textAlignment w:val="top"/>
        <w:outlineLvl w:val="0"/>
        <w:rPr>
          <w:rFonts w:ascii="Times New Roman" w:eastAsia="Times New Roman" w:hAnsi="Times New Roman" w:cs="Times New Roman"/>
          <w:sz w:val="24"/>
          <w:szCs w:val="24"/>
        </w:rPr>
      </w:pPr>
      <w:r w:rsidRPr="009A5B59">
        <w:rPr>
          <w:rFonts w:ascii="Times New Roman" w:hAnsi="Times New Roman" w:cs="Times New Roman"/>
          <w:sz w:val="24"/>
          <w:szCs w:val="24"/>
        </w:rPr>
        <w:t xml:space="preserve">Louis DN, Perry A, </w:t>
      </w:r>
      <w:proofErr w:type="spellStart"/>
      <w:r w:rsidRPr="009A5B59">
        <w:rPr>
          <w:rFonts w:ascii="Times New Roman" w:hAnsi="Times New Roman" w:cs="Times New Roman"/>
          <w:sz w:val="24"/>
          <w:szCs w:val="24"/>
        </w:rPr>
        <w:t>Reifenberger</w:t>
      </w:r>
      <w:proofErr w:type="spellEnd"/>
      <w:r w:rsidRPr="009A5B59">
        <w:rPr>
          <w:rFonts w:ascii="Times New Roman" w:hAnsi="Times New Roman" w:cs="Times New Roman"/>
          <w:sz w:val="24"/>
          <w:szCs w:val="24"/>
        </w:rPr>
        <w:t xml:space="preserve"> G, et al. The 2016 World </w:t>
      </w:r>
      <w:proofErr w:type="spellStart"/>
      <w:r w:rsidRPr="009A5B59">
        <w:rPr>
          <w:rFonts w:ascii="Times New Roman" w:hAnsi="Times New Roman" w:cs="Times New Roman"/>
          <w:sz w:val="24"/>
          <w:szCs w:val="24"/>
        </w:rPr>
        <w:t>Health</w:t>
      </w:r>
      <w:proofErr w:type="spellEnd"/>
      <w:r w:rsidRPr="009A5B59">
        <w:rPr>
          <w:rFonts w:ascii="Times New Roman" w:hAnsi="Times New Roman" w:cs="Times New Roman"/>
          <w:sz w:val="24"/>
          <w:szCs w:val="24"/>
        </w:rPr>
        <w:t xml:space="preserve"> </w:t>
      </w:r>
      <w:proofErr w:type="spellStart"/>
      <w:r w:rsidRPr="009A5B59">
        <w:rPr>
          <w:rFonts w:ascii="Times New Roman" w:hAnsi="Times New Roman" w:cs="Times New Roman"/>
          <w:sz w:val="24"/>
          <w:szCs w:val="24"/>
        </w:rPr>
        <w:t>Organization</w:t>
      </w:r>
      <w:proofErr w:type="spellEnd"/>
      <w:r w:rsidRPr="009A5B59">
        <w:rPr>
          <w:rFonts w:ascii="Times New Roman" w:hAnsi="Times New Roman" w:cs="Times New Roman"/>
          <w:sz w:val="24"/>
          <w:szCs w:val="24"/>
        </w:rPr>
        <w:t xml:space="preserve"> Classification of </w:t>
      </w:r>
      <w:proofErr w:type="spellStart"/>
      <w:r w:rsidRPr="009A5B59">
        <w:rPr>
          <w:rFonts w:ascii="Times New Roman" w:hAnsi="Times New Roman" w:cs="Times New Roman"/>
          <w:sz w:val="24"/>
          <w:szCs w:val="24"/>
        </w:rPr>
        <w:t>Tumors</w:t>
      </w:r>
      <w:proofErr w:type="spellEnd"/>
      <w:r w:rsidRPr="009A5B59">
        <w:rPr>
          <w:rFonts w:ascii="Times New Roman" w:hAnsi="Times New Roman" w:cs="Times New Roman"/>
          <w:sz w:val="24"/>
          <w:szCs w:val="24"/>
        </w:rPr>
        <w:t xml:space="preserve"> of the Central </w:t>
      </w:r>
      <w:proofErr w:type="spellStart"/>
      <w:r w:rsidRPr="009A5B59">
        <w:rPr>
          <w:rFonts w:ascii="Times New Roman" w:hAnsi="Times New Roman" w:cs="Times New Roman"/>
          <w:sz w:val="24"/>
          <w:szCs w:val="24"/>
        </w:rPr>
        <w:t>Nervous</w:t>
      </w:r>
      <w:proofErr w:type="spellEnd"/>
      <w:r w:rsidRPr="009A5B59">
        <w:rPr>
          <w:rFonts w:ascii="Times New Roman" w:hAnsi="Times New Roman" w:cs="Times New Roman"/>
          <w:sz w:val="24"/>
          <w:szCs w:val="24"/>
        </w:rPr>
        <w:t xml:space="preserve"> </w:t>
      </w:r>
      <w:proofErr w:type="gramStart"/>
      <w:r w:rsidRPr="009A5B59">
        <w:rPr>
          <w:rFonts w:ascii="Times New Roman" w:hAnsi="Times New Roman" w:cs="Times New Roman"/>
          <w:sz w:val="24"/>
          <w:szCs w:val="24"/>
        </w:rPr>
        <w:t>System:</w:t>
      </w:r>
      <w:proofErr w:type="gramEnd"/>
      <w:r w:rsidRPr="009A5B59">
        <w:rPr>
          <w:rFonts w:ascii="Times New Roman" w:hAnsi="Times New Roman" w:cs="Times New Roman"/>
          <w:sz w:val="24"/>
          <w:szCs w:val="24"/>
        </w:rPr>
        <w:t xml:space="preserve"> </w:t>
      </w:r>
      <w:proofErr w:type="spellStart"/>
      <w:r w:rsidRPr="009A5B59">
        <w:rPr>
          <w:rFonts w:ascii="Times New Roman" w:hAnsi="Times New Roman" w:cs="Times New Roman"/>
          <w:sz w:val="24"/>
          <w:szCs w:val="24"/>
        </w:rPr>
        <w:t>a</w:t>
      </w:r>
      <w:proofErr w:type="spellEnd"/>
      <w:r w:rsidRPr="009A5B59">
        <w:rPr>
          <w:rFonts w:ascii="Times New Roman" w:hAnsi="Times New Roman" w:cs="Times New Roman"/>
          <w:sz w:val="24"/>
          <w:szCs w:val="24"/>
        </w:rPr>
        <w:t xml:space="preserve"> </w:t>
      </w:r>
      <w:proofErr w:type="spellStart"/>
      <w:r w:rsidRPr="009A5B59">
        <w:rPr>
          <w:rFonts w:ascii="Times New Roman" w:hAnsi="Times New Roman" w:cs="Times New Roman"/>
          <w:sz w:val="24"/>
          <w:szCs w:val="24"/>
        </w:rPr>
        <w:t>summary</w:t>
      </w:r>
      <w:proofErr w:type="spellEnd"/>
      <w:r w:rsidRPr="009A5B59">
        <w:rPr>
          <w:rFonts w:ascii="Times New Roman" w:hAnsi="Times New Roman" w:cs="Times New Roman"/>
          <w:sz w:val="24"/>
          <w:szCs w:val="24"/>
        </w:rPr>
        <w:t xml:space="preserve">. </w:t>
      </w:r>
      <w:r w:rsidRPr="009A5B59">
        <w:rPr>
          <w:rFonts w:ascii="Times New Roman" w:hAnsi="Times New Roman" w:cs="Times New Roman"/>
          <w:i/>
          <w:iCs/>
          <w:sz w:val="24"/>
          <w:szCs w:val="24"/>
        </w:rPr>
        <w:t xml:space="preserve">Acta </w:t>
      </w:r>
      <w:proofErr w:type="spellStart"/>
      <w:r w:rsidRPr="009A5B59">
        <w:rPr>
          <w:rFonts w:ascii="Times New Roman" w:hAnsi="Times New Roman" w:cs="Times New Roman"/>
          <w:i/>
          <w:iCs/>
          <w:sz w:val="24"/>
          <w:szCs w:val="24"/>
        </w:rPr>
        <w:t>Neuropathol</w:t>
      </w:r>
      <w:proofErr w:type="spellEnd"/>
      <w:r w:rsidRPr="009A5B59">
        <w:rPr>
          <w:rFonts w:ascii="Times New Roman" w:hAnsi="Times New Roman" w:cs="Times New Roman"/>
          <w:sz w:val="24"/>
          <w:szCs w:val="24"/>
        </w:rPr>
        <w:t xml:space="preserve">. </w:t>
      </w:r>
      <w:proofErr w:type="gramStart"/>
      <w:r w:rsidRPr="009A5B59">
        <w:rPr>
          <w:rFonts w:ascii="Times New Roman" w:hAnsi="Times New Roman" w:cs="Times New Roman"/>
          <w:sz w:val="24"/>
          <w:szCs w:val="24"/>
        </w:rPr>
        <w:t>2016;</w:t>
      </w:r>
      <w:proofErr w:type="gramEnd"/>
      <w:r w:rsidRPr="009A5B59">
        <w:rPr>
          <w:rFonts w:ascii="Times New Roman" w:hAnsi="Times New Roman" w:cs="Times New Roman"/>
          <w:sz w:val="24"/>
          <w:szCs w:val="24"/>
        </w:rPr>
        <w:t>131(6):803–20.</w:t>
      </w:r>
    </w:p>
    <w:p w14:paraId="2CB2E023" w14:textId="77777777" w:rsidR="009A5B59" w:rsidRPr="009A5B59" w:rsidRDefault="009A5B59" w:rsidP="009A5B59">
      <w:pPr>
        <w:pStyle w:val="Paragraphedeliste"/>
        <w:numPr>
          <w:ilvl w:val="0"/>
          <w:numId w:val="2"/>
        </w:numPr>
        <w:suppressAutoHyphens/>
        <w:spacing w:after="0" w:line="240" w:lineRule="auto"/>
        <w:jc w:val="both"/>
        <w:textDirection w:val="btLr"/>
        <w:textAlignment w:val="top"/>
        <w:outlineLvl w:val="0"/>
        <w:rPr>
          <w:rFonts w:ascii="Times New Roman" w:eastAsia="Times New Roman" w:hAnsi="Times New Roman" w:cs="Times New Roman"/>
          <w:sz w:val="24"/>
          <w:szCs w:val="24"/>
        </w:rPr>
      </w:pPr>
      <w:r w:rsidRPr="009A5B59">
        <w:rPr>
          <w:rFonts w:ascii="Times New Roman" w:hAnsi="Times New Roman" w:cs="Times New Roman"/>
          <w:sz w:val="24"/>
          <w:szCs w:val="24"/>
        </w:rPr>
        <w:t xml:space="preserve">Louis DN, Perry A, </w:t>
      </w:r>
      <w:proofErr w:type="spellStart"/>
      <w:r w:rsidRPr="009A5B59">
        <w:rPr>
          <w:rFonts w:ascii="Times New Roman" w:hAnsi="Times New Roman" w:cs="Times New Roman"/>
          <w:sz w:val="24"/>
          <w:szCs w:val="24"/>
        </w:rPr>
        <w:t>Wesseling</w:t>
      </w:r>
      <w:proofErr w:type="spellEnd"/>
      <w:r w:rsidRPr="009A5B59">
        <w:rPr>
          <w:rFonts w:ascii="Times New Roman" w:hAnsi="Times New Roman" w:cs="Times New Roman"/>
          <w:sz w:val="24"/>
          <w:szCs w:val="24"/>
        </w:rPr>
        <w:t xml:space="preserve"> P, et al. The 2021 WHO Classification of </w:t>
      </w:r>
      <w:proofErr w:type="spellStart"/>
      <w:r w:rsidRPr="009A5B59">
        <w:rPr>
          <w:rFonts w:ascii="Times New Roman" w:hAnsi="Times New Roman" w:cs="Times New Roman"/>
          <w:sz w:val="24"/>
          <w:szCs w:val="24"/>
        </w:rPr>
        <w:t>Tumors</w:t>
      </w:r>
      <w:proofErr w:type="spellEnd"/>
      <w:r w:rsidRPr="009A5B59">
        <w:rPr>
          <w:rFonts w:ascii="Times New Roman" w:hAnsi="Times New Roman" w:cs="Times New Roman"/>
          <w:sz w:val="24"/>
          <w:szCs w:val="24"/>
        </w:rPr>
        <w:t xml:space="preserve"> of the Central </w:t>
      </w:r>
      <w:proofErr w:type="spellStart"/>
      <w:r w:rsidRPr="009A5B59">
        <w:rPr>
          <w:rFonts w:ascii="Times New Roman" w:hAnsi="Times New Roman" w:cs="Times New Roman"/>
          <w:sz w:val="24"/>
          <w:szCs w:val="24"/>
        </w:rPr>
        <w:t>Nervous</w:t>
      </w:r>
      <w:proofErr w:type="spellEnd"/>
      <w:r w:rsidRPr="009A5B59">
        <w:rPr>
          <w:rFonts w:ascii="Times New Roman" w:hAnsi="Times New Roman" w:cs="Times New Roman"/>
          <w:sz w:val="24"/>
          <w:szCs w:val="24"/>
        </w:rPr>
        <w:t xml:space="preserve"> </w:t>
      </w:r>
      <w:proofErr w:type="gramStart"/>
      <w:r w:rsidRPr="009A5B59">
        <w:rPr>
          <w:rFonts w:ascii="Times New Roman" w:hAnsi="Times New Roman" w:cs="Times New Roman"/>
          <w:sz w:val="24"/>
          <w:szCs w:val="24"/>
        </w:rPr>
        <w:t>System:</w:t>
      </w:r>
      <w:proofErr w:type="gramEnd"/>
      <w:r w:rsidRPr="009A5B59">
        <w:rPr>
          <w:rFonts w:ascii="Times New Roman" w:hAnsi="Times New Roman" w:cs="Times New Roman"/>
          <w:sz w:val="24"/>
          <w:szCs w:val="24"/>
        </w:rPr>
        <w:t xml:space="preserve"> </w:t>
      </w:r>
      <w:proofErr w:type="spellStart"/>
      <w:r w:rsidRPr="009A5B59">
        <w:rPr>
          <w:rFonts w:ascii="Times New Roman" w:hAnsi="Times New Roman" w:cs="Times New Roman"/>
          <w:sz w:val="24"/>
          <w:szCs w:val="24"/>
        </w:rPr>
        <w:t>a</w:t>
      </w:r>
      <w:proofErr w:type="spellEnd"/>
      <w:r w:rsidRPr="009A5B59">
        <w:rPr>
          <w:rFonts w:ascii="Times New Roman" w:hAnsi="Times New Roman" w:cs="Times New Roman"/>
          <w:sz w:val="24"/>
          <w:szCs w:val="24"/>
        </w:rPr>
        <w:t xml:space="preserve"> </w:t>
      </w:r>
      <w:proofErr w:type="spellStart"/>
      <w:r w:rsidRPr="009A5B59">
        <w:rPr>
          <w:rFonts w:ascii="Times New Roman" w:hAnsi="Times New Roman" w:cs="Times New Roman"/>
          <w:sz w:val="24"/>
          <w:szCs w:val="24"/>
        </w:rPr>
        <w:t>summary</w:t>
      </w:r>
      <w:proofErr w:type="spellEnd"/>
      <w:r w:rsidRPr="009A5B59">
        <w:rPr>
          <w:rFonts w:ascii="Times New Roman" w:hAnsi="Times New Roman" w:cs="Times New Roman"/>
          <w:sz w:val="24"/>
          <w:szCs w:val="24"/>
        </w:rPr>
        <w:t xml:space="preserve">. </w:t>
      </w:r>
      <w:r w:rsidRPr="009A5B59">
        <w:rPr>
          <w:rFonts w:ascii="Times New Roman" w:hAnsi="Times New Roman" w:cs="Times New Roman"/>
          <w:i/>
          <w:iCs/>
          <w:sz w:val="24"/>
          <w:szCs w:val="24"/>
        </w:rPr>
        <w:t xml:space="preserve">Neuro </w:t>
      </w:r>
      <w:proofErr w:type="spellStart"/>
      <w:r w:rsidRPr="009A5B59">
        <w:rPr>
          <w:rFonts w:ascii="Times New Roman" w:hAnsi="Times New Roman" w:cs="Times New Roman"/>
          <w:i/>
          <w:iCs/>
          <w:sz w:val="24"/>
          <w:szCs w:val="24"/>
        </w:rPr>
        <w:t>Oncol</w:t>
      </w:r>
      <w:proofErr w:type="spellEnd"/>
      <w:r w:rsidRPr="009A5B59">
        <w:rPr>
          <w:rFonts w:ascii="Times New Roman" w:hAnsi="Times New Roman" w:cs="Times New Roman"/>
          <w:sz w:val="24"/>
          <w:szCs w:val="24"/>
        </w:rPr>
        <w:t xml:space="preserve">. </w:t>
      </w:r>
      <w:proofErr w:type="gramStart"/>
      <w:r w:rsidRPr="009A5B59">
        <w:rPr>
          <w:rFonts w:ascii="Times New Roman" w:hAnsi="Times New Roman" w:cs="Times New Roman"/>
          <w:sz w:val="24"/>
          <w:szCs w:val="24"/>
        </w:rPr>
        <w:t>2021;</w:t>
      </w:r>
      <w:proofErr w:type="gramEnd"/>
      <w:r w:rsidRPr="009A5B59">
        <w:rPr>
          <w:rFonts w:ascii="Times New Roman" w:hAnsi="Times New Roman" w:cs="Times New Roman"/>
          <w:sz w:val="24"/>
          <w:szCs w:val="24"/>
        </w:rPr>
        <w:t>23(8):1231–51.</w:t>
      </w:r>
    </w:p>
    <w:p w14:paraId="654D6465" w14:textId="77777777" w:rsidR="009A5B59" w:rsidRPr="009A5B59" w:rsidRDefault="009A5B59" w:rsidP="009A5B59">
      <w:pPr>
        <w:pStyle w:val="Paragraphedeliste"/>
        <w:numPr>
          <w:ilvl w:val="0"/>
          <w:numId w:val="2"/>
        </w:numPr>
        <w:suppressAutoHyphens/>
        <w:spacing w:after="0" w:line="240" w:lineRule="auto"/>
        <w:jc w:val="both"/>
        <w:textDirection w:val="btLr"/>
        <w:textAlignment w:val="top"/>
        <w:outlineLvl w:val="0"/>
        <w:rPr>
          <w:rFonts w:ascii="Times New Roman" w:hAnsi="Times New Roman" w:cs="Times New Roman"/>
          <w:sz w:val="24"/>
          <w:szCs w:val="24"/>
        </w:rPr>
      </w:pPr>
      <w:r w:rsidRPr="009A5B59">
        <w:rPr>
          <w:rFonts w:ascii="Times New Roman" w:hAnsi="Times New Roman" w:cs="Times New Roman"/>
          <w:sz w:val="24"/>
          <w:szCs w:val="24"/>
        </w:rPr>
        <w:t xml:space="preserve">Van Den Bent MJ, Weller M, Wen PY, et al. A </w:t>
      </w:r>
      <w:proofErr w:type="spellStart"/>
      <w:r w:rsidRPr="009A5B59">
        <w:rPr>
          <w:rFonts w:ascii="Times New Roman" w:hAnsi="Times New Roman" w:cs="Times New Roman"/>
          <w:sz w:val="24"/>
          <w:szCs w:val="24"/>
        </w:rPr>
        <w:t>clinical</w:t>
      </w:r>
      <w:proofErr w:type="spellEnd"/>
      <w:r w:rsidRPr="009A5B59">
        <w:rPr>
          <w:rFonts w:ascii="Times New Roman" w:hAnsi="Times New Roman" w:cs="Times New Roman"/>
          <w:sz w:val="24"/>
          <w:szCs w:val="24"/>
        </w:rPr>
        <w:t xml:space="preserve"> perspective on the 2016 WHO </w:t>
      </w:r>
      <w:proofErr w:type="spellStart"/>
      <w:r w:rsidRPr="009A5B59">
        <w:rPr>
          <w:rFonts w:ascii="Times New Roman" w:hAnsi="Times New Roman" w:cs="Times New Roman"/>
          <w:sz w:val="24"/>
          <w:szCs w:val="24"/>
        </w:rPr>
        <w:t>brain</w:t>
      </w:r>
      <w:proofErr w:type="spellEnd"/>
      <w:r w:rsidRPr="009A5B59">
        <w:rPr>
          <w:rFonts w:ascii="Times New Roman" w:hAnsi="Times New Roman" w:cs="Times New Roman"/>
          <w:sz w:val="24"/>
          <w:szCs w:val="24"/>
        </w:rPr>
        <w:t xml:space="preserve"> </w:t>
      </w:r>
      <w:proofErr w:type="spellStart"/>
      <w:r w:rsidRPr="009A5B59">
        <w:rPr>
          <w:rFonts w:ascii="Times New Roman" w:hAnsi="Times New Roman" w:cs="Times New Roman"/>
          <w:sz w:val="24"/>
          <w:szCs w:val="24"/>
        </w:rPr>
        <w:t>tumor</w:t>
      </w:r>
      <w:proofErr w:type="spellEnd"/>
      <w:r w:rsidRPr="009A5B59">
        <w:rPr>
          <w:rFonts w:ascii="Times New Roman" w:hAnsi="Times New Roman" w:cs="Times New Roman"/>
          <w:sz w:val="24"/>
          <w:szCs w:val="24"/>
        </w:rPr>
        <w:t xml:space="preserve"> classification and routine </w:t>
      </w:r>
      <w:proofErr w:type="spellStart"/>
      <w:r w:rsidRPr="009A5B59">
        <w:rPr>
          <w:rFonts w:ascii="Times New Roman" w:hAnsi="Times New Roman" w:cs="Times New Roman"/>
          <w:sz w:val="24"/>
          <w:szCs w:val="24"/>
        </w:rPr>
        <w:t>molecular</w:t>
      </w:r>
      <w:proofErr w:type="spellEnd"/>
      <w:r w:rsidRPr="009A5B59">
        <w:rPr>
          <w:rFonts w:ascii="Times New Roman" w:hAnsi="Times New Roman" w:cs="Times New Roman"/>
          <w:sz w:val="24"/>
          <w:szCs w:val="24"/>
        </w:rPr>
        <w:t xml:space="preserve"> diagnostics. </w:t>
      </w:r>
      <w:r w:rsidRPr="009A5B59">
        <w:rPr>
          <w:rFonts w:ascii="Times New Roman" w:hAnsi="Times New Roman" w:cs="Times New Roman"/>
          <w:i/>
          <w:iCs/>
          <w:sz w:val="24"/>
          <w:szCs w:val="24"/>
        </w:rPr>
        <w:t xml:space="preserve">Neuro </w:t>
      </w:r>
      <w:proofErr w:type="spellStart"/>
      <w:r w:rsidRPr="009A5B59">
        <w:rPr>
          <w:rFonts w:ascii="Times New Roman" w:hAnsi="Times New Roman" w:cs="Times New Roman"/>
          <w:i/>
          <w:iCs/>
          <w:sz w:val="24"/>
          <w:szCs w:val="24"/>
        </w:rPr>
        <w:t>Oncol</w:t>
      </w:r>
      <w:proofErr w:type="spellEnd"/>
      <w:r w:rsidRPr="009A5B59">
        <w:rPr>
          <w:rFonts w:ascii="Times New Roman" w:hAnsi="Times New Roman" w:cs="Times New Roman"/>
          <w:sz w:val="24"/>
          <w:szCs w:val="24"/>
        </w:rPr>
        <w:t xml:space="preserve">. </w:t>
      </w:r>
      <w:proofErr w:type="gramStart"/>
      <w:r w:rsidRPr="009A5B59">
        <w:rPr>
          <w:rFonts w:ascii="Times New Roman" w:hAnsi="Times New Roman" w:cs="Times New Roman"/>
          <w:sz w:val="24"/>
          <w:szCs w:val="24"/>
        </w:rPr>
        <w:t>2017;</w:t>
      </w:r>
      <w:proofErr w:type="gramEnd"/>
      <w:r w:rsidRPr="009A5B59">
        <w:rPr>
          <w:rFonts w:ascii="Times New Roman" w:hAnsi="Times New Roman" w:cs="Times New Roman"/>
          <w:sz w:val="24"/>
          <w:szCs w:val="24"/>
        </w:rPr>
        <w:t>19(5):614–24.</w:t>
      </w:r>
    </w:p>
    <w:p w14:paraId="6511740B" w14:textId="77777777" w:rsidR="009A5B59" w:rsidRPr="009A5B59" w:rsidRDefault="009A5B59" w:rsidP="009A5B59">
      <w:pPr>
        <w:pStyle w:val="Paragraphedeliste"/>
        <w:numPr>
          <w:ilvl w:val="0"/>
          <w:numId w:val="2"/>
        </w:numPr>
        <w:suppressAutoHyphens/>
        <w:spacing w:after="0" w:line="240" w:lineRule="auto"/>
        <w:jc w:val="both"/>
        <w:textDirection w:val="btLr"/>
        <w:textAlignment w:val="top"/>
        <w:outlineLvl w:val="0"/>
        <w:rPr>
          <w:rFonts w:ascii="Times New Roman" w:eastAsia="Times New Roman" w:hAnsi="Times New Roman" w:cs="Times New Roman"/>
          <w:sz w:val="24"/>
          <w:szCs w:val="24"/>
        </w:rPr>
      </w:pPr>
      <w:proofErr w:type="spellStart"/>
      <w:r w:rsidRPr="009A5B59">
        <w:rPr>
          <w:rFonts w:ascii="Times New Roman" w:hAnsi="Times New Roman" w:cs="Times New Roman"/>
          <w:sz w:val="24"/>
          <w:szCs w:val="24"/>
        </w:rPr>
        <w:t>Cairncross</w:t>
      </w:r>
      <w:proofErr w:type="spellEnd"/>
      <w:r w:rsidRPr="009A5B59">
        <w:rPr>
          <w:rFonts w:ascii="Times New Roman" w:hAnsi="Times New Roman" w:cs="Times New Roman"/>
          <w:sz w:val="24"/>
          <w:szCs w:val="24"/>
        </w:rPr>
        <w:t xml:space="preserve"> JG, Wang M, Shaw EG, et al. Phase III trial of </w:t>
      </w:r>
      <w:proofErr w:type="spellStart"/>
      <w:r w:rsidRPr="009A5B59">
        <w:rPr>
          <w:rFonts w:ascii="Times New Roman" w:hAnsi="Times New Roman" w:cs="Times New Roman"/>
          <w:sz w:val="24"/>
          <w:szCs w:val="24"/>
        </w:rPr>
        <w:t>chemoradiotherapy</w:t>
      </w:r>
      <w:proofErr w:type="spellEnd"/>
      <w:r w:rsidRPr="009A5B59">
        <w:rPr>
          <w:rFonts w:ascii="Times New Roman" w:hAnsi="Times New Roman" w:cs="Times New Roman"/>
          <w:sz w:val="24"/>
          <w:szCs w:val="24"/>
        </w:rPr>
        <w:t xml:space="preserve"> for </w:t>
      </w:r>
      <w:proofErr w:type="spellStart"/>
      <w:r w:rsidRPr="009A5B59">
        <w:rPr>
          <w:rFonts w:ascii="Times New Roman" w:hAnsi="Times New Roman" w:cs="Times New Roman"/>
          <w:sz w:val="24"/>
          <w:szCs w:val="24"/>
        </w:rPr>
        <w:t>anaplastic</w:t>
      </w:r>
      <w:proofErr w:type="spellEnd"/>
      <w:r w:rsidRPr="009A5B59">
        <w:rPr>
          <w:rFonts w:ascii="Times New Roman" w:hAnsi="Times New Roman" w:cs="Times New Roman"/>
          <w:sz w:val="24"/>
          <w:szCs w:val="24"/>
        </w:rPr>
        <w:t xml:space="preserve"> </w:t>
      </w:r>
      <w:proofErr w:type="spellStart"/>
      <w:proofErr w:type="gramStart"/>
      <w:r w:rsidRPr="009A5B59">
        <w:rPr>
          <w:rFonts w:ascii="Times New Roman" w:hAnsi="Times New Roman" w:cs="Times New Roman"/>
          <w:sz w:val="24"/>
          <w:szCs w:val="24"/>
        </w:rPr>
        <w:t>oligodendroglioma</w:t>
      </w:r>
      <w:proofErr w:type="spellEnd"/>
      <w:r w:rsidRPr="009A5B59">
        <w:rPr>
          <w:rFonts w:ascii="Times New Roman" w:hAnsi="Times New Roman" w:cs="Times New Roman"/>
          <w:sz w:val="24"/>
          <w:szCs w:val="24"/>
        </w:rPr>
        <w:t>:</w:t>
      </w:r>
      <w:proofErr w:type="gramEnd"/>
      <w:r w:rsidRPr="009A5B59">
        <w:rPr>
          <w:rFonts w:ascii="Times New Roman" w:hAnsi="Times New Roman" w:cs="Times New Roman"/>
          <w:sz w:val="24"/>
          <w:szCs w:val="24"/>
        </w:rPr>
        <w:t xml:space="preserve"> long-</w:t>
      </w:r>
      <w:proofErr w:type="spellStart"/>
      <w:r w:rsidRPr="009A5B59">
        <w:rPr>
          <w:rFonts w:ascii="Times New Roman" w:hAnsi="Times New Roman" w:cs="Times New Roman"/>
          <w:sz w:val="24"/>
          <w:szCs w:val="24"/>
        </w:rPr>
        <w:t>term</w:t>
      </w:r>
      <w:proofErr w:type="spellEnd"/>
      <w:r w:rsidRPr="009A5B59">
        <w:rPr>
          <w:rFonts w:ascii="Times New Roman" w:hAnsi="Times New Roman" w:cs="Times New Roman"/>
          <w:sz w:val="24"/>
          <w:szCs w:val="24"/>
        </w:rPr>
        <w:t xml:space="preserve"> </w:t>
      </w:r>
      <w:proofErr w:type="spellStart"/>
      <w:r w:rsidRPr="009A5B59">
        <w:rPr>
          <w:rFonts w:ascii="Times New Roman" w:hAnsi="Times New Roman" w:cs="Times New Roman"/>
          <w:sz w:val="24"/>
          <w:szCs w:val="24"/>
        </w:rPr>
        <w:t>results</w:t>
      </w:r>
      <w:proofErr w:type="spellEnd"/>
      <w:r w:rsidRPr="009A5B59">
        <w:rPr>
          <w:rFonts w:ascii="Times New Roman" w:hAnsi="Times New Roman" w:cs="Times New Roman"/>
          <w:sz w:val="24"/>
          <w:szCs w:val="24"/>
        </w:rPr>
        <w:t xml:space="preserve">. </w:t>
      </w:r>
      <w:r w:rsidRPr="009A5B59">
        <w:rPr>
          <w:rFonts w:ascii="Times New Roman" w:hAnsi="Times New Roman" w:cs="Times New Roman"/>
          <w:i/>
          <w:iCs/>
          <w:sz w:val="24"/>
          <w:szCs w:val="24"/>
        </w:rPr>
        <w:t xml:space="preserve">J Clin </w:t>
      </w:r>
      <w:proofErr w:type="spellStart"/>
      <w:r w:rsidRPr="009A5B59">
        <w:rPr>
          <w:rFonts w:ascii="Times New Roman" w:hAnsi="Times New Roman" w:cs="Times New Roman"/>
          <w:i/>
          <w:iCs/>
          <w:sz w:val="24"/>
          <w:szCs w:val="24"/>
        </w:rPr>
        <w:t>Oncol</w:t>
      </w:r>
      <w:proofErr w:type="spellEnd"/>
      <w:r w:rsidRPr="009A5B59">
        <w:rPr>
          <w:rFonts w:ascii="Times New Roman" w:hAnsi="Times New Roman" w:cs="Times New Roman"/>
          <w:sz w:val="24"/>
          <w:szCs w:val="24"/>
        </w:rPr>
        <w:t xml:space="preserve">. </w:t>
      </w:r>
      <w:proofErr w:type="gramStart"/>
      <w:r w:rsidRPr="009A5B59">
        <w:rPr>
          <w:rFonts w:ascii="Times New Roman" w:hAnsi="Times New Roman" w:cs="Times New Roman"/>
          <w:sz w:val="24"/>
          <w:szCs w:val="24"/>
        </w:rPr>
        <w:t>2013;</w:t>
      </w:r>
      <w:proofErr w:type="gramEnd"/>
      <w:r w:rsidRPr="009A5B59">
        <w:rPr>
          <w:rFonts w:ascii="Times New Roman" w:hAnsi="Times New Roman" w:cs="Times New Roman"/>
          <w:sz w:val="24"/>
          <w:szCs w:val="24"/>
        </w:rPr>
        <w:t>31(3):337–43.</w:t>
      </w:r>
    </w:p>
    <w:p w14:paraId="699DC5C7" w14:textId="77777777" w:rsidR="00A502C4" w:rsidRPr="009E7A19" w:rsidRDefault="00A502C4" w:rsidP="009E7A19">
      <w:pPr>
        <w:pStyle w:val="Bibliographie"/>
        <w:spacing w:line="240" w:lineRule="auto"/>
        <w:jc w:val="both"/>
        <w:rPr>
          <w:rFonts w:ascii="Times New Roman" w:hAnsi="Times New Roman" w:cs="Times New Roman"/>
          <w:sz w:val="24"/>
          <w:szCs w:val="24"/>
        </w:rPr>
      </w:pPr>
    </w:p>
    <w:p w14:paraId="64B93FD4" w14:textId="77777777" w:rsidR="00A502C4" w:rsidRDefault="00A502C4" w:rsidP="007108E8">
      <w:pPr>
        <w:pStyle w:val="Paragraphedeliste"/>
        <w:spacing w:line="240" w:lineRule="auto"/>
        <w:jc w:val="both"/>
        <w:rPr>
          <w:rFonts w:ascii="Times New Roman" w:hAnsi="Times New Roman" w:cs="Times New Roman"/>
          <w:sz w:val="24"/>
        </w:rPr>
      </w:pPr>
    </w:p>
    <w:p w14:paraId="31D28E5E" w14:textId="77777777" w:rsidR="00A502C4" w:rsidRDefault="00A502C4" w:rsidP="007108E8">
      <w:pPr>
        <w:pStyle w:val="Paragraphedeliste"/>
        <w:spacing w:line="240" w:lineRule="auto"/>
        <w:jc w:val="both"/>
        <w:rPr>
          <w:rFonts w:ascii="Times New Roman" w:hAnsi="Times New Roman" w:cs="Times New Roman"/>
          <w:sz w:val="24"/>
        </w:rPr>
      </w:pPr>
    </w:p>
    <w:p w14:paraId="75AC8AA1" w14:textId="77777777" w:rsidR="00A502C4" w:rsidRDefault="00A502C4" w:rsidP="007108E8">
      <w:pPr>
        <w:pStyle w:val="Paragraphedeliste"/>
        <w:spacing w:line="240" w:lineRule="auto"/>
        <w:jc w:val="both"/>
        <w:rPr>
          <w:rFonts w:ascii="Times New Roman" w:hAnsi="Times New Roman" w:cs="Times New Roman"/>
          <w:sz w:val="24"/>
        </w:rPr>
      </w:pPr>
    </w:p>
    <w:p w14:paraId="774F4490" w14:textId="77777777" w:rsidR="00A502C4" w:rsidRDefault="00A502C4" w:rsidP="007108E8">
      <w:pPr>
        <w:pStyle w:val="Paragraphedeliste"/>
        <w:spacing w:line="240" w:lineRule="auto"/>
        <w:jc w:val="both"/>
        <w:rPr>
          <w:rFonts w:ascii="Times New Roman" w:hAnsi="Times New Roman" w:cs="Times New Roman"/>
          <w:sz w:val="24"/>
        </w:rPr>
      </w:pPr>
    </w:p>
    <w:p w14:paraId="37062EBE" w14:textId="77777777" w:rsidR="00A502C4" w:rsidRDefault="00A502C4" w:rsidP="007108E8">
      <w:pPr>
        <w:pStyle w:val="Paragraphedeliste"/>
        <w:spacing w:line="240" w:lineRule="auto"/>
        <w:jc w:val="both"/>
        <w:rPr>
          <w:rFonts w:ascii="Times New Roman" w:hAnsi="Times New Roman" w:cs="Times New Roman"/>
          <w:sz w:val="24"/>
        </w:rPr>
      </w:pPr>
    </w:p>
    <w:p w14:paraId="033BEE31" w14:textId="77777777" w:rsidR="00A502C4" w:rsidRDefault="00A502C4" w:rsidP="007108E8">
      <w:pPr>
        <w:pStyle w:val="Paragraphedeliste"/>
        <w:spacing w:line="240" w:lineRule="auto"/>
        <w:jc w:val="both"/>
        <w:rPr>
          <w:rFonts w:ascii="Times New Roman" w:hAnsi="Times New Roman" w:cs="Times New Roman"/>
          <w:sz w:val="24"/>
        </w:rPr>
      </w:pPr>
    </w:p>
    <w:p w14:paraId="2D2D8600" w14:textId="77777777" w:rsidR="00A502C4" w:rsidRDefault="00A502C4" w:rsidP="007108E8">
      <w:pPr>
        <w:pStyle w:val="Paragraphedeliste"/>
        <w:spacing w:line="240" w:lineRule="auto"/>
        <w:jc w:val="both"/>
        <w:rPr>
          <w:rFonts w:ascii="Times New Roman" w:hAnsi="Times New Roman" w:cs="Times New Roman"/>
          <w:sz w:val="24"/>
        </w:rPr>
      </w:pPr>
    </w:p>
    <w:p w14:paraId="467A6A52" w14:textId="77777777" w:rsidR="00A502C4" w:rsidRDefault="00A502C4" w:rsidP="007108E8">
      <w:pPr>
        <w:pStyle w:val="Paragraphedeliste"/>
        <w:spacing w:line="240" w:lineRule="auto"/>
        <w:jc w:val="both"/>
        <w:rPr>
          <w:rFonts w:ascii="Times New Roman" w:hAnsi="Times New Roman" w:cs="Times New Roman"/>
          <w:sz w:val="24"/>
        </w:rPr>
      </w:pPr>
    </w:p>
    <w:p w14:paraId="614D9EBC" w14:textId="77777777" w:rsidR="0064495E" w:rsidRDefault="0064495E" w:rsidP="007108E8">
      <w:pPr>
        <w:pStyle w:val="Paragraphedeliste"/>
        <w:spacing w:line="240" w:lineRule="auto"/>
        <w:jc w:val="both"/>
        <w:rPr>
          <w:rFonts w:ascii="Times New Roman" w:hAnsi="Times New Roman" w:cs="Times New Roman"/>
          <w:sz w:val="24"/>
        </w:rPr>
      </w:pPr>
    </w:p>
    <w:p w14:paraId="79CF6F0E" w14:textId="77777777" w:rsidR="0064495E" w:rsidRDefault="0064495E" w:rsidP="007108E8">
      <w:pPr>
        <w:pStyle w:val="Paragraphedeliste"/>
        <w:spacing w:line="240" w:lineRule="auto"/>
        <w:jc w:val="both"/>
        <w:rPr>
          <w:rFonts w:ascii="Times New Roman" w:hAnsi="Times New Roman" w:cs="Times New Roman"/>
          <w:sz w:val="24"/>
        </w:rPr>
      </w:pPr>
    </w:p>
    <w:p w14:paraId="25E46758" w14:textId="77777777" w:rsidR="0064495E" w:rsidRDefault="0064495E" w:rsidP="007108E8">
      <w:pPr>
        <w:pStyle w:val="Paragraphedeliste"/>
        <w:spacing w:line="240" w:lineRule="auto"/>
        <w:jc w:val="both"/>
        <w:rPr>
          <w:rFonts w:ascii="Times New Roman" w:hAnsi="Times New Roman" w:cs="Times New Roman"/>
          <w:sz w:val="24"/>
        </w:rPr>
      </w:pPr>
    </w:p>
    <w:p w14:paraId="465D6D2A" w14:textId="77777777" w:rsidR="00F72620" w:rsidRPr="009E7A19" w:rsidRDefault="00F72620" w:rsidP="009E7A19">
      <w:pPr>
        <w:spacing w:line="240" w:lineRule="auto"/>
        <w:jc w:val="both"/>
        <w:rPr>
          <w:rFonts w:ascii="Times New Roman" w:hAnsi="Times New Roman" w:cs="Times New Roman"/>
          <w:sz w:val="24"/>
        </w:rPr>
      </w:pPr>
    </w:p>
    <w:sectPr w:rsidR="00F72620" w:rsidRPr="009E7A19" w:rsidSect="003F2BF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CDCF5" w14:textId="77777777" w:rsidR="00C43F7D" w:rsidRDefault="00C43F7D" w:rsidP="00444DB7">
      <w:pPr>
        <w:spacing w:after="0" w:line="240" w:lineRule="auto"/>
      </w:pPr>
      <w:r>
        <w:separator/>
      </w:r>
    </w:p>
  </w:endnote>
  <w:endnote w:type="continuationSeparator" w:id="0">
    <w:p w14:paraId="0E25084D" w14:textId="77777777" w:rsidR="00C43F7D" w:rsidRDefault="00C43F7D" w:rsidP="0044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A3441" w14:textId="77777777" w:rsidR="00AD099F" w:rsidRDefault="009A5B59">
    <w:pPr>
      <w:pStyle w:val="Pieddepage"/>
      <w:jc w:val="right"/>
    </w:pPr>
    <w:proofErr w:type="spellStart"/>
    <w:r>
      <w:t>Ranaivomanana</w:t>
    </w:r>
    <w:proofErr w:type="spellEnd"/>
    <w:r>
      <w:t xml:space="preserve"> VF</w:t>
    </w:r>
    <w:r w:rsidR="00A32BF7">
      <w:t xml:space="preserve"> et al </w:t>
    </w:r>
    <w:r w:rsidR="00A32BF7">
      <w:tab/>
    </w:r>
    <w:r w:rsidR="00A32BF7">
      <w:tab/>
    </w:r>
    <w:sdt>
      <w:sdtPr>
        <w:id w:val="-1070186654"/>
        <w:docPartObj>
          <w:docPartGallery w:val="Page Numbers (Bottom of Page)"/>
          <w:docPartUnique/>
        </w:docPartObj>
      </w:sdtPr>
      <w:sdtContent>
        <w:r w:rsidR="00775CDA">
          <w:fldChar w:fldCharType="begin"/>
        </w:r>
        <w:r w:rsidR="00AD099F">
          <w:instrText>PAGE   \* MERGEFORMAT</w:instrText>
        </w:r>
        <w:r w:rsidR="00775CDA">
          <w:fldChar w:fldCharType="separate"/>
        </w:r>
        <w:r w:rsidR="0082209B">
          <w:rPr>
            <w:noProof/>
          </w:rPr>
          <w:t>454</w:t>
        </w:r>
        <w:r w:rsidR="00775CDA">
          <w:fldChar w:fldCharType="end"/>
        </w:r>
      </w:sdtContent>
    </w:sdt>
  </w:p>
  <w:p w14:paraId="6F436831" w14:textId="77777777" w:rsidR="006F1D3F" w:rsidRDefault="006F1D3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6A619" w14:textId="77777777" w:rsidR="00C43F7D" w:rsidRDefault="00C43F7D" w:rsidP="00444DB7">
      <w:pPr>
        <w:spacing w:after="0" w:line="240" w:lineRule="auto"/>
      </w:pPr>
      <w:r>
        <w:separator/>
      </w:r>
    </w:p>
  </w:footnote>
  <w:footnote w:type="continuationSeparator" w:id="0">
    <w:p w14:paraId="646BEB19" w14:textId="77777777" w:rsidR="00C43F7D" w:rsidRDefault="00C43F7D" w:rsidP="00444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2BBE" w14:textId="4E3C5B30" w:rsidR="00A32BF7" w:rsidRDefault="00A32BF7">
    <w:pPr>
      <w:pStyle w:val="En-tte"/>
    </w:pPr>
    <w:r w:rsidRPr="00A32BF7">
      <w:rPr>
        <w:i/>
      </w:rPr>
      <w:ptab w:relativeTo="margin" w:alignment="center" w:leader="none"/>
    </w:r>
    <w:r w:rsidRPr="00A32BF7">
      <w:rPr>
        <w:i/>
      </w:rPr>
      <w:t>Head and Neck Journal of Madagascar</w:t>
    </w:r>
    <w:r>
      <w:t>.</w:t>
    </w:r>
    <w:r w:rsidR="007B6582">
      <w:t xml:space="preserve"> 2025 ; 6 : 617 - 21</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0114F"/>
    <w:multiLevelType w:val="hybridMultilevel"/>
    <w:tmpl w:val="552848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B8B27A0"/>
    <w:multiLevelType w:val="hybridMultilevel"/>
    <w:tmpl w:val="08E6E4C0"/>
    <w:lvl w:ilvl="0" w:tplc="040C000F">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num w:numId="1" w16cid:durableId="327825582">
    <w:abstractNumId w:val="0"/>
  </w:num>
  <w:num w:numId="2" w16cid:durableId="700939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3EAF"/>
    <w:rsid w:val="00062885"/>
    <w:rsid w:val="000B23D8"/>
    <w:rsid w:val="000C1399"/>
    <w:rsid w:val="000E3EAF"/>
    <w:rsid w:val="00163068"/>
    <w:rsid w:val="001A70EE"/>
    <w:rsid w:val="001F5073"/>
    <w:rsid w:val="00223971"/>
    <w:rsid w:val="002259A0"/>
    <w:rsid w:val="0028270B"/>
    <w:rsid w:val="00287BB1"/>
    <w:rsid w:val="002D7B20"/>
    <w:rsid w:val="002E2406"/>
    <w:rsid w:val="00316FD4"/>
    <w:rsid w:val="00320CA0"/>
    <w:rsid w:val="00384A8C"/>
    <w:rsid w:val="00391B23"/>
    <w:rsid w:val="003B28D3"/>
    <w:rsid w:val="003D1427"/>
    <w:rsid w:val="003F2BF8"/>
    <w:rsid w:val="00434AD1"/>
    <w:rsid w:val="00444DB7"/>
    <w:rsid w:val="00491DB9"/>
    <w:rsid w:val="005176DE"/>
    <w:rsid w:val="00540B67"/>
    <w:rsid w:val="005568C6"/>
    <w:rsid w:val="005B5F0D"/>
    <w:rsid w:val="005E671D"/>
    <w:rsid w:val="0062671A"/>
    <w:rsid w:val="00642053"/>
    <w:rsid w:val="00642331"/>
    <w:rsid w:val="0064495E"/>
    <w:rsid w:val="006540F2"/>
    <w:rsid w:val="00685DE2"/>
    <w:rsid w:val="006A563F"/>
    <w:rsid w:val="006C73A9"/>
    <w:rsid w:val="006F1D3F"/>
    <w:rsid w:val="007029AE"/>
    <w:rsid w:val="007108E8"/>
    <w:rsid w:val="00775CDA"/>
    <w:rsid w:val="007918E2"/>
    <w:rsid w:val="007B2A28"/>
    <w:rsid w:val="007B6582"/>
    <w:rsid w:val="0080583D"/>
    <w:rsid w:val="00815185"/>
    <w:rsid w:val="0082209B"/>
    <w:rsid w:val="00835A7C"/>
    <w:rsid w:val="00902E15"/>
    <w:rsid w:val="00966746"/>
    <w:rsid w:val="009A5B59"/>
    <w:rsid w:val="009D037A"/>
    <w:rsid w:val="009E6301"/>
    <w:rsid w:val="009E7A19"/>
    <w:rsid w:val="00A03F59"/>
    <w:rsid w:val="00A24E93"/>
    <w:rsid w:val="00A32BF7"/>
    <w:rsid w:val="00A446FD"/>
    <w:rsid w:val="00A460A1"/>
    <w:rsid w:val="00A502C4"/>
    <w:rsid w:val="00A6284B"/>
    <w:rsid w:val="00A65F1F"/>
    <w:rsid w:val="00AA4212"/>
    <w:rsid w:val="00AB2C44"/>
    <w:rsid w:val="00AC6FA6"/>
    <w:rsid w:val="00AD099F"/>
    <w:rsid w:val="00B07A8E"/>
    <w:rsid w:val="00B163C8"/>
    <w:rsid w:val="00B23BC7"/>
    <w:rsid w:val="00C037C9"/>
    <w:rsid w:val="00C316A0"/>
    <w:rsid w:val="00C43F7D"/>
    <w:rsid w:val="00D55C91"/>
    <w:rsid w:val="00D57110"/>
    <w:rsid w:val="00D57555"/>
    <w:rsid w:val="00DD3C3A"/>
    <w:rsid w:val="00DE5DBE"/>
    <w:rsid w:val="00DF4A01"/>
    <w:rsid w:val="00E12C42"/>
    <w:rsid w:val="00E30515"/>
    <w:rsid w:val="00E36B35"/>
    <w:rsid w:val="00E460C6"/>
    <w:rsid w:val="00EB2692"/>
    <w:rsid w:val="00EE12B0"/>
    <w:rsid w:val="00EF5845"/>
    <w:rsid w:val="00F51224"/>
    <w:rsid w:val="00F72620"/>
    <w:rsid w:val="00F9793A"/>
    <w:rsid w:val="00FA7286"/>
    <w:rsid w:val="00FC095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AutoShape 11"/>
        <o:r id="V:Rule2" type="connector" idref="#AutoShape 13"/>
        <o:r id="V:Rule3" type="connector" idref="#AutoShape 18"/>
        <o:r id="V:Rule4" type="connector" idref="#AutoShape 17"/>
        <o:r id="V:Rule5" type="connector" idref="#AutoShape 15"/>
        <o:r id="V:Rule6" type="connector" idref="#AutoShape 16"/>
      </o:rules>
    </o:shapelayout>
  </w:shapeDefaults>
  <w:decimalSymbol w:val=","/>
  <w:listSeparator w:val=";"/>
  <w14:docId w14:val="1716C1AE"/>
  <w15:docId w15:val="{E17698F5-8DA8-4EFB-B517-DC8347A2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84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460C6"/>
    <w:rPr>
      <w:color w:val="0000FF" w:themeColor="hyperlink"/>
      <w:u w:val="single"/>
    </w:rPr>
  </w:style>
  <w:style w:type="paragraph" w:styleId="En-tte">
    <w:name w:val="header"/>
    <w:basedOn w:val="Normal"/>
    <w:link w:val="En-tteCar"/>
    <w:uiPriority w:val="99"/>
    <w:unhideWhenUsed/>
    <w:rsid w:val="00444DB7"/>
    <w:pPr>
      <w:tabs>
        <w:tab w:val="center" w:pos="4536"/>
        <w:tab w:val="right" w:pos="9072"/>
      </w:tabs>
      <w:spacing w:after="0" w:line="240" w:lineRule="auto"/>
    </w:pPr>
  </w:style>
  <w:style w:type="character" w:customStyle="1" w:styleId="En-tteCar">
    <w:name w:val="En-tête Car"/>
    <w:basedOn w:val="Policepardfaut"/>
    <w:link w:val="En-tte"/>
    <w:uiPriority w:val="99"/>
    <w:rsid w:val="00444DB7"/>
  </w:style>
  <w:style w:type="paragraph" w:styleId="Pieddepage">
    <w:name w:val="footer"/>
    <w:basedOn w:val="Normal"/>
    <w:link w:val="PieddepageCar"/>
    <w:uiPriority w:val="99"/>
    <w:unhideWhenUsed/>
    <w:rsid w:val="00444D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4DB7"/>
  </w:style>
  <w:style w:type="paragraph" w:styleId="Paragraphedeliste">
    <w:name w:val="List Paragraph"/>
    <w:basedOn w:val="Normal"/>
    <w:uiPriority w:val="34"/>
    <w:qFormat/>
    <w:rsid w:val="00902E15"/>
    <w:pPr>
      <w:ind w:left="720"/>
      <w:contextualSpacing/>
    </w:pPr>
  </w:style>
  <w:style w:type="paragraph" w:styleId="Textedebulles">
    <w:name w:val="Balloon Text"/>
    <w:basedOn w:val="Normal"/>
    <w:link w:val="TextedebullesCar"/>
    <w:uiPriority w:val="99"/>
    <w:semiHidden/>
    <w:unhideWhenUsed/>
    <w:rsid w:val="00F726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2620"/>
    <w:rPr>
      <w:rFonts w:ascii="Tahoma" w:hAnsi="Tahoma" w:cs="Tahoma"/>
      <w:sz w:val="16"/>
      <w:szCs w:val="16"/>
    </w:rPr>
  </w:style>
  <w:style w:type="paragraph" w:styleId="Bibliographie">
    <w:name w:val="Bibliography"/>
    <w:basedOn w:val="Normal"/>
    <w:next w:val="Normal"/>
    <w:uiPriority w:val="37"/>
    <w:unhideWhenUsed/>
    <w:rsid w:val="007108E8"/>
    <w:pPr>
      <w:spacing w:after="160" w:line="256" w:lineRule="auto"/>
    </w:pPr>
  </w:style>
  <w:style w:type="paragraph" w:styleId="NormalWeb">
    <w:name w:val="Normal (Web)"/>
    <w:basedOn w:val="Normal"/>
    <w:uiPriority w:val="99"/>
    <w:semiHidden/>
    <w:unhideWhenUsed/>
    <w:rsid w:val="00B23B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835686">
      <w:bodyDiv w:val="1"/>
      <w:marLeft w:val="0"/>
      <w:marRight w:val="0"/>
      <w:marTop w:val="0"/>
      <w:marBottom w:val="0"/>
      <w:divBdr>
        <w:top w:val="none" w:sz="0" w:space="0" w:color="auto"/>
        <w:left w:val="none" w:sz="0" w:space="0" w:color="auto"/>
        <w:bottom w:val="none" w:sz="0" w:space="0" w:color="auto"/>
        <w:right w:val="none" w:sz="0" w:space="0" w:color="auto"/>
      </w:divBdr>
    </w:div>
    <w:div w:id="161251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iencedirect.com/science/article/pii/S014067361260815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doi.org/10.1371/journal.pone.017513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ature.com/ng/journal/v41/n8/full/ng.408.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yperlink" Target="http://www.nature.com/ng/journal/v41/n8/full/ng.408.html" TargetMode="Externa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nature.com/ng/journal/v41/n8/full/ng.408.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486872675658748"/>
          <c:y val="6.6955535883458372E-2"/>
          <c:w val="0.38998025548921211"/>
          <c:h val="0.76380748264455156"/>
        </c:manualLayout>
      </c:layout>
      <c:pieChart>
        <c:varyColors val="1"/>
        <c:ser>
          <c:idx val="0"/>
          <c:order val="0"/>
          <c:tx>
            <c:strRef>
              <c:f>Feuil1!$B$1</c:f>
              <c:strCache>
                <c:ptCount val="1"/>
                <c:pt idx="0">
                  <c:v>Ventes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C70-4FDC-9A18-AB5F3DDFFD38}"/>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CC70-4FDC-9A18-AB5F3DDFFD38}"/>
              </c:ext>
            </c:extLst>
          </c:dPt>
          <c:dLbls>
            <c:dLbl>
              <c:idx val="0"/>
              <c:tx>
                <c:rich>
                  <a:bodyPr/>
                  <a:lstStyle/>
                  <a:p>
                    <a:r>
                      <a:rPr lang="en-US"/>
                      <a:t>n=8</a:t>
                    </a:r>
                  </a:p>
                  <a:p>
                    <a:r>
                      <a:rPr lang="en-US"/>
                      <a:t>47 %</a:t>
                    </a:r>
                  </a:p>
                </c:rich>
              </c:tx>
              <c:dLblPos val="outEnd"/>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CC70-4FDC-9A18-AB5F3DDFFD38}"/>
                </c:ext>
              </c:extLst>
            </c:dLbl>
            <c:dLbl>
              <c:idx val="1"/>
              <c:tx>
                <c:rich>
                  <a:bodyPr/>
                  <a:lstStyle/>
                  <a:p>
                    <a:r>
                      <a:rPr lang="en-US"/>
                      <a:t>n=9</a:t>
                    </a:r>
                  </a:p>
                  <a:p>
                    <a:r>
                      <a:rPr lang="en-US"/>
                      <a:t>53 %</a:t>
                    </a:r>
                  </a:p>
                </c:rich>
              </c:tx>
              <c:dLblPos val="outEnd"/>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CC70-4FDC-9A18-AB5F3DDFFD38}"/>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Feuil1!$A$2:$A$3</c:f>
              <c:strCache>
                <c:ptCount val="2"/>
                <c:pt idx="0">
                  <c:v>Feminin </c:v>
                </c:pt>
                <c:pt idx="1">
                  <c:v>Masculin </c:v>
                </c:pt>
              </c:strCache>
            </c:strRef>
          </c:cat>
          <c:val>
            <c:numRef>
              <c:f>Feuil1!$B$2:$B$3</c:f>
              <c:numCache>
                <c:formatCode>General</c:formatCode>
                <c:ptCount val="2"/>
                <c:pt idx="0">
                  <c:v>8</c:v>
                </c:pt>
                <c:pt idx="1">
                  <c:v>9</c:v>
                </c:pt>
              </c:numCache>
            </c:numRef>
          </c:val>
          <c:extLst>
            <c:ext xmlns:c16="http://schemas.microsoft.com/office/drawing/2014/chart" uri="{C3380CC4-5D6E-409C-BE32-E72D297353CC}">
              <c16:uniqueId val="{00000004-CC70-4FDC-9A18-AB5F3DDFFD3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Feuil1!$B$1</c:f>
              <c:strCache>
                <c:ptCount val="1"/>
                <c:pt idx="0">
                  <c:v>Série 3</c:v>
                </c:pt>
              </c:strCache>
            </c:strRef>
          </c:tx>
          <c:spPr>
            <a:solidFill>
              <a:schemeClr val="accent1"/>
            </a:solidFill>
            <a:ln>
              <a:solidFill>
                <a:srgbClr val="0070C0"/>
              </a:solidFill>
            </a:ln>
            <a:effectLst/>
          </c:spPr>
          <c:invertIfNegative val="0"/>
          <c:dPt>
            <c:idx val="2"/>
            <c:invertIfNegative val="0"/>
            <c:bubble3D val="0"/>
            <c:spPr>
              <a:solidFill>
                <a:schemeClr val="accent3"/>
              </a:solidFill>
              <a:ln>
                <a:solidFill>
                  <a:srgbClr val="0070C0"/>
                </a:solidFill>
              </a:ln>
              <a:effectLst/>
            </c:spPr>
            <c:extLst>
              <c:ext xmlns:c16="http://schemas.microsoft.com/office/drawing/2014/chart" uri="{C3380CC4-5D6E-409C-BE32-E72D297353CC}">
                <c16:uniqueId val="{00000001-C538-4704-BC63-A6CC6AB1C53B}"/>
              </c:ext>
            </c:extLst>
          </c:dPt>
          <c:dLbls>
            <c:dLbl>
              <c:idx val="0"/>
              <c:layout>
                <c:manualLayout>
                  <c:x val="-2.1218890680033472E-17"/>
                  <c:y val="-1.5873015873015883E-2"/>
                </c:manualLayout>
              </c:layout>
              <c:tx>
                <c:rich>
                  <a:bodyPr/>
                  <a:lstStyle/>
                  <a:p>
                    <a:r>
                      <a:rPr lang="en-US"/>
                      <a:t>n=3</a:t>
                    </a:r>
                  </a:p>
                  <a:p>
                    <a:r>
                      <a:rPr lang="en-US"/>
                      <a:t>17,6</a:t>
                    </a:r>
                    <a:r>
                      <a:rPr lang="en-US" baseline="0"/>
                      <a:t> %</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538-4704-BC63-A6CC6AB1C53B}"/>
                </c:ext>
              </c:extLst>
            </c:dLbl>
            <c:dLbl>
              <c:idx val="1"/>
              <c:layout>
                <c:manualLayout>
                  <c:x val="-4.2437781360066944E-17"/>
                  <c:y val="-1.1904761904761987E-2"/>
                </c:manualLayout>
              </c:layout>
              <c:tx>
                <c:rich>
                  <a:bodyPr/>
                  <a:lstStyle/>
                  <a:p>
                    <a:r>
                      <a:rPr lang="en-US"/>
                      <a:t>n=2</a:t>
                    </a:r>
                  </a:p>
                  <a:p>
                    <a:r>
                      <a:rPr lang="en-US"/>
                      <a:t>11,8</a:t>
                    </a:r>
                    <a:r>
                      <a:rPr lang="en-US" baseline="0"/>
                      <a:t> %</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538-4704-BC63-A6CC6AB1C53B}"/>
                </c:ext>
              </c:extLst>
            </c:dLbl>
            <c:dLbl>
              <c:idx val="2"/>
              <c:tx>
                <c:rich>
                  <a:bodyPr/>
                  <a:lstStyle/>
                  <a:p>
                    <a:r>
                      <a:rPr lang="en-US"/>
                      <a:t>n=5</a:t>
                    </a:r>
                  </a:p>
                  <a:p>
                    <a:r>
                      <a:rPr lang="en-US"/>
                      <a:t>29,4 %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538-4704-BC63-A6CC6AB1C53B}"/>
                </c:ext>
              </c:extLst>
            </c:dLbl>
            <c:dLbl>
              <c:idx val="3"/>
              <c:layout>
                <c:manualLayout>
                  <c:x val="-8.48755627201339E-17"/>
                  <c:y val="-7.9365079365079586E-3"/>
                </c:manualLayout>
              </c:layout>
              <c:tx>
                <c:rich>
                  <a:bodyPr/>
                  <a:lstStyle/>
                  <a:p>
                    <a:r>
                      <a:rPr lang="en-US"/>
                      <a:t>n=4</a:t>
                    </a:r>
                  </a:p>
                  <a:p>
                    <a:r>
                      <a:rPr lang="en-US"/>
                      <a:t>23,5 %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C538-4704-BC63-A6CC6AB1C53B}"/>
                </c:ext>
              </c:extLst>
            </c:dLbl>
            <c:dLbl>
              <c:idx val="4"/>
              <c:tx>
                <c:rich>
                  <a:bodyPr/>
                  <a:lstStyle/>
                  <a:p>
                    <a:r>
                      <a:rPr lang="en-US"/>
                      <a:t>n=3</a:t>
                    </a:r>
                  </a:p>
                  <a:p>
                    <a:r>
                      <a:rPr lang="en-US"/>
                      <a:t>17,6 %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C538-4704-BC63-A6CC6AB1C53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Feuil1!$A$2:$A$6</c:f>
              <c:strCache>
                <c:ptCount val="5"/>
                <c:pt idx="0">
                  <c:v>moins de 15</c:v>
                </c:pt>
                <c:pt idx="1">
                  <c:v>[15 - 30[</c:v>
                </c:pt>
                <c:pt idx="2">
                  <c:v>[30 - 45[</c:v>
                </c:pt>
                <c:pt idx="3">
                  <c:v>[45 - 60[</c:v>
                </c:pt>
                <c:pt idx="4">
                  <c:v>60 et plus</c:v>
                </c:pt>
              </c:strCache>
            </c:strRef>
          </c:cat>
          <c:val>
            <c:numRef>
              <c:f>Feuil1!$B$2:$B$6</c:f>
              <c:numCache>
                <c:formatCode>General</c:formatCode>
                <c:ptCount val="5"/>
                <c:pt idx="0">
                  <c:v>3</c:v>
                </c:pt>
                <c:pt idx="1">
                  <c:v>2</c:v>
                </c:pt>
                <c:pt idx="2">
                  <c:v>5</c:v>
                </c:pt>
                <c:pt idx="3">
                  <c:v>4</c:v>
                </c:pt>
                <c:pt idx="4">
                  <c:v>3</c:v>
                </c:pt>
              </c:numCache>
            </c:numRef>
          </c:val>
          <c:extLst>
            <c:ext xmlns:c16="http://schemas.microsoft.com/office/drawing/2014/chart" uri="{C3380CC4-5D6E-409C-BE32-E72D297353CC}">
              <c16:uniqueId val="{00000006-C538-4704-BC63-A6CC6AB1C53B}"/>
            </c:ext>
          </c:extLst>
        </c:ser>
        <c:dLbls>
          <c:showLegendKey val="0"/>
          <c:showVal val="0"/>
          <c:showCatName val="0"/>
          <c:showSerName val="0"/>
          <c:showPercent val="0"/>
          <c:showBubbleSize val="0"/>
        </c:dLbls>
        <c:gapWidth val="0"/>
        <c:axId val="180645248"/>
        <c:axId val="181217152"/>
      </c:barChart>
      <c:catAx>
        <c:axId val="1806452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000">
                    <a:latin typeface="Times New Roman" panose="02020603050405020304" pitchFamily="18" charset="0"/>
                    <a:cs typeface="Times New Roman" panose="02020603050405020304" pitchFamily="18" charset="0"/>
                  </a:rPr>
                  <a:t>Tranche</a:t>
                </a:r>
                <a:r>
                  <a:rPr lang="fr-FR" sz="1000" baseline="0">
                    <a:latin typeface="Times New Roman" panose="02020603050405020304" pitchFamily="18" charset="0"/>
                    <a:cs typeface="Times New Roman" panose="02020603050405020304" pitchFamily="18" charset="0"/>
                  </a:rPr>
                  <a:t> d'âge (ans)</a:t>
                </a:r>
                <a:endParaRPr lang="fr-FR" sz="1000">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181217152"/>
        <c:crosses val="autoZero"/>
        <c:auto val="1"/>
        <c:lblAlgn val="ctr"/>
        <c:lblOffset val="100"/>
        <c:noMultiLvlLbl val="0"/>
      </c:catAx>
      <c:valAx>
        <c:axId val="181217152"/>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1806452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2027</Words>
  <Characters>11150</Characters>
  <Application>Microsoft Office Word</Application>
  <DocSecurity>0</DocSecurity>
  <Lines>92</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MOUANGUE</dc:creator>
  <cp:keywords/>
  <dc:description/>
  <cp:lastModifiedBy>Faneva RANDRIAMANDIMBISOA</cp:lastModifiedBy>
  <cp:revision>4</cp:revision>
  <dcterms:created xsi:type="dcterms:W3CDTF">2026-01-28T11:01:00Z</dcterms:created>
  <dcterms:modified xsi:type="dcterms:W3CDTF">2026-01-29T08:22:00Z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929543706</vt:i4>
  </property>
</Properties>
</file>